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C9" w:rsidRDefault="008478A0" w:rsidP="003464C9">
      <w:pPr>
        <w:pStyle w:val="1"/>
        <w:spacing w:line="240" w:lineRule="auto"/>
        <w:rPr>
          <w:color w:val="782C2A"/>
          <w:szCs w:val="24"/>
        </w:rPr>
      </w:pPr>
      <w:proofErr w:type="gramStart"/>
      <w:r w:rsidRPr="00875469">
        <w:rPr>
          <w:rFonts w:ascii="Times New Roman" w:hAnsi="Times New Roman"/>
          <w:color w:val="782C2A"/>
          <w:szCs w:val="24"/>
        </w:rPr>
        <w:t>ТАРИФЫ ДЕПОЗИТАРНОГО ОБСЛУЖИВАНИЯ</w:t>
      </w:r>
      <w:r w:rsidR="009044C2">
        <w:rPr>
          <w:rFonts w:ascii="Times New Roman" w:hAnsi="Times New Roman"/>
          <w:color w:val="782C2A"/>
          <w:szCs w:val="24"/>
        </w:rPr>
        <w:br/>
      </w:r>
      <w:r w:rsidR="00525AAA">
        <w:rPr>
          <w:rFonts w:ascii="Times New Roman" w:hAnsi="Times New Roman"/>
          <w:color w:val="782C2A"/>
          <w:szCs w:val="24"/>
        </w:rPr>
        <w:t>депонентов</w:t>
      </w:r>
      <w:r w:rsidR="009044C2">
        <w:rPr>
          <w:rFonts w:ascii="Times New Roman" w:hAnsi="Times New Roman"/>
          <w:color w:val="782C2A"/>
          <w:szCs w:val="24"/>
        </w:rPr>
        <w:t xml:space="preserve"> </w:t>
      </w:r>
      <w:r w:rsidR="009044C2" w:rsidRPr="00875469">
        <w:rPr>
          <w:rFonts w:ascii="Times New Roman" w:hAnsi="Times New Roman"/>
          <w:color w:val="782C2A"/>
          <w:szCs w:val="24"/>
        </w:rPr>
        <w:t xml:space="preserve">АКБ «Держава» </w:t>
      </w:r>
      <w:r w:rsidR="00197419">
        <w:rPr>
          <w:rFonts w:ascii="Times New Roman" w:hAnsi="Times New Roman"/>
          <w:color w:val="782C2A"/>
          <w:szCs w:val="24"/>
        </w:rPr>
        <w:t>П</w:t>
      </w:r>
      <w:r w:rsidR="009044C2" w:rsidRPr="00875469">
        <w:rPr>
          <w:rFonts w:ascii="Times New Roman" w:hAnsi="Times New Roman"/>
          <w:color w:val="782C2A"/>
          <w:szCs w:val="24"/>
        </w:rPr>
        <w:t>АО</w:t>
      </w:r>
      <w:r w:rsidR="009044C2">
        <w:rPr>
          <w:rFonts w:ascii="Times New Roman" w:hAnsi="Times New Roman"/>
          <w:color w:val="782C2A"/>
          <w:szCs w:val="24"/>
        </w:rPr>
        <w:t xml:space="preserve"> – юридических и физических лиц, </w:t>
      </w:r>
      <w:r w:rsidR="009044C2" w:rsidRPr="009044C2">
        <w:rPr>
          <w:color w:val="782C2A"/>
          <w:szCs w:val="24"/>
        </w:rPr>
        <w:t>индивидуальных предпринимателей</w:t>
      </w:r>
      <w:r w:rsidR="009044C2">
        <w:rPr>
          <w:color w:val="782C2A"/>
          <w:szCs w:val="24"/>
        </w:rPr>
        <w:t xml:space="preserve"> </w:t>
      </w:r>
      <w:r w:rsidR="009044C2" w:rsidRPr="009044C2">
        <w:rPr>
          <w:color w:val="782C2A"/>
          <w:szCs w:val="24"/>
        </w:rPr>
        <w:t>и физических лиц, занимающихся</w:t>
      </w:r>
      <w:r w:rsidR="009044C2">
        <w:rPr>
          <w:color w:val="782C2A"/>
          <w:szCs w:val="24"/>
        </w:rPr>
        <w:t xml:space="preserve"> </w:t>
      </w:r>
      <w:r w:rsidR="009044C2" w:rsidRPr="009044C2">
        <w:rPr>
          <w:color w:val="782C2A"/>
          <w:szCs w:val="24"/>
        </w:rPr>
        <w:t>в установленном законодательством</w:t>
      </w:r>
      <w:r w:rsidR="009044C2">
        <w:rPr>
          <w:color w:val="782C2A"/>
          <w:szCs w:val="24"/>
        </w:rPr>
        <w:t xml:space="preserve"> </w:t>
      </w:r>
      <w:r w:rsidR="009044C2" w:rsidRPr="009044C2">
        <w:rPr>
          <w:color w:val="782C2A"/>
          <w:szCs w:val="24"/>
        </w:rPr>
        <w:t>Российской Федерации</w:t>
      </w:r>
      <w:r w:rsidR="009044C2">
        <w:rPr>
          <w:color w:val="782C2A"/>
          <w:szCs w:val="24"/>
        </w:rPr>
        <w:t xml:space="preserve"> </w:t>
      </w:r>
      <w:r w:rsidR="009044C2" w:rsidRPr="009044C2">
        <w:rPr>
          <w:color w:val="782C2A"/>
          <w:szCs w:val="24"/>
        </w:rPr>
        <w:t>порядке частной практикой</w:t>
      </w:r>
      <w:proofErr w:type="gramEnd"/>
    </w:p>
    <w:p w:rsidR="003464C9" w:rsidRPr="007E32E5" w:rsidRDefault="003464C9" w:rsidP="007E32E5">
      <w:pPr>
        <w:pStyle w:val="1"/>
        <w:spacing w:before="0" w:line="120" w:lineRule="exact"/>
        <w:rPr>
          <w:b w:val="0"/>
          <w:color w:val="000000" w:themeColor="text1"/>
          <w:sz w:val="16"/>
          <w:szCs w:val="16"/>
        </w:rPr>
      </w:pPr>
    </w:p>
    <w:p w:rsidR="003464C9" w:rsidRPr="003464C9" w:rsidRDefault="003464C9" w:rsidP="003464C9">
      <w:pPr>
        <w:pStyle w:val="1"/>
        <w:rPr>
          <w:b w:val="0"/>
          <w:color w:val="782C2A"/>
          <w:szCs w:val="24"/>
        </w:rPr>
      </w:pPr>
      <w:r w:rsidRPr="00F627F7">
        <w:rPr>
          <w:color w:val="000000" w:themeColor="text1"/>
          <w:sz w:val="20"/>
        </w:rPr>
        <w:t>(действуют с</w:t>
      </w:r>
      <w:r w:rsidR="000E449E" w:rsidRPr="00F627F7">
        <w:rPr>
          <w:color w:val="000000" w:themeColor="text1"/>
          <w:sz w:val="20"/>
        </w:rPr>
        <w:t xml:space="preserve"> </w:t>
      </w:r>
      <w:r w:rsidR="000E449E" w:rsidRPr="00F627F7">
        <w:rPr>
          <w:sz w:val="20"/>
        </w:rPr>
        <w:t xml:space="preserve">01 </w:t>
      </w:r>
      <w:r w:rsidR="00197419">
        <w:rPr>
          <w:sz w:val="20"/>
        </w:rPr>
        <w:t>ноября</w:t>
      </w:r>
      <w:r w:rsidR="00197419" w:rsidRPr="00F627F7">
        <w:rPr>
          <w:sz w:val="20"/>
        </w:rPr>
        <w:t xml:space="preserve"> </w:t>
      </w:r>
      <w:r w:rsidR="005F4FC2" w:rsidRPr="00F627F7">
        <w:rPr>
          <w:color w:val="000000" w:themeColor="text1"/>
          <w:sz w:val="20"/>
        </w:rPr>
        <w:t>201</w:t>
      </w:r>
      <w:r w:rsidR="00202629" w:rsidRPr="00F627F7">
        <w:rPr>
          <w:color w:val="000000" w:themeColor="text1"/>
          <w:sz w:val="20"/>
        </w:rPr>
        <w:t>5</w:t>
      </w:r>
      <w:r w:rsidR="005F4FC2" w:rsidRPr="00F627F7">
        <w:rPr>
          <w:color w:val="000000" w:themeColor="text1"/>
          <w:sz w:val="20"/>
        </w:rPr>
        <w:t>г.</w:t>
      </w:r>
      <w:r w:rsidRPr="00F627F7">
        <w:rPr>
          <w:color w:val="000000" w:themeColor="text1"/>
          <w:sz w:val="20"/>
        </w:rPr>
        <w:t>)</w:t>
      </w:r>
    </w:p>
    <w:p w:rsidR="00E65A3B" w:rsidRDefault="00E65A3B" w:rsidP="008478A0">
      <w:pPr>
        <w:rPr>
          <w:color w:val="782C2A"/>
        </w:rPr>
      </w:pPr>
    </w:p>
    <w:tbl>
      <w:tblPr>
        <w:tblW w:w="10632"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3"/>
        <w:gridCol w:w="2835"/>
        <w:gridCol w:w="993"/>
        <w:gridCol w:w="993"/>
        <w:gridCol w:w="852"/>
        <w:gridCol w:w="993"/>
        <w:gridCol w:w="993"/>
        <w:gridCol w:w="992"/>
        <w:gridCol w:w="1418"/>
      </w:tblGrid>
      <w:tr w:rsidR="00697999" w:rsidRPr="00875469" w:rsidTr="00F00306">
        <w:trPr>
          <w:trHeight w:val="270"/>
          <w:tblHeader/>
        </w:trPr>
        <w:tc>
          <w:tcPr>
            <w:tcW w:w="563" w:type="dxa"/>
            <w:vMerge w:val="restart"/>
            <w:tcBorders>
              <w:top w:val="single" w:sz="4" w:space="0" w:color="auto"/>
              <w:left w:val="single" w:sz="4" w:space="0" w:color="auto"/>
              <w:right w:val="single" w:sz="4" w:space="0" w:color="auto"/>
            </w:tcBorders>
            <w:shd w:val="clear" w:color="auto" w:fill="FFFFE1"/>
            <w:vAlign w:val="center"/>
          </w:tcPr>
          <w:p w:rsidR="00697999" w:rsidRPr="007E32E5" w:rsidRDefault="00697999" w:rsidP="00320906">
            <w:pPr>
              <w:ind w:left="-70"/>
              <w:jc w:val="center"/>
              <w:rPr>
                <w:b/>
              </w:rPr>
            </w:pPr>
            <w:r w:rsidRPr="007E32E5">
              <w:rPr>
                <w:b/>
              </w:rPr>
              <w:t>№</w:t>
            </w:r>
          </w:p>
          <w:p w:rsidR="00697999" w:rsidRPr="007E32E5" w:rsidRDefault="00697999" w:rsidP="00320906">
            <w:pPr>
              <w:ind w:left="-70"/>
              <w:jc w:val="center"/>
              <w:rPr>
                <w:b/>
              </w:rPr>
            </w:pPr>
            <w:r w:rsidRPr="007E32E5">
              <w:rPr>
                <w:b/>
              </w:rPr>
              <w:t>п/п</w:t>
            </w:r>
          </w:p>
        </w:tc>
        <w:tc>
          <w:tcPr>
            <w:tcW w:w="2835" w:type="dxa"/>
            <w:vMerge w:val="restart"/>
            <w:tcBorders>
              <w:top w:val="single" w:sz="4" w:space="0" w:color="auto"/>
              <w:left w:val="single" w:sz="4" w:space="0" w:color="auto"/>
              <w:right w:val="single" w:sz="4" w:space="0" w:color="000000" w:themeColor="text1"/>
            </w:tcBorders>
            <w:shd w:val="clear" w:color="auto" w:fill="FFFFE1"/>
            <w:vAlign w:val="center"/>
          </w:tcPr>
          <w:p w:rsidR="00697999" w:rsidRPr="007E32E5" w:rsidRDefault="00697999" w:rsidP="00320906">
            <w:pPr>
              <w:jc w:val="center"/>
              <w:rPr>
                <w:b/>
              </w:rPr>
            </w:pPr>
            <w:r w:rsidRPr="007E32E5">
              <w:rPr>
                <w:b/>
              </w:rPr>
              <w:t>Наименование операции по обслуживанию Счета Депо</w:t>
            </w:r>
          </w:p>
        </w:tc>
        <w:tc>
          <w:tcPr>
            <w:tcW w:w="5816" w:type="dxa"/>
            <w:gridSpan w:val="6"/>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782C2A"/>
            <w:vAlign w:val="center"/>
          </w:tcPr>
          <w:p w:rsidR="00697999" w:rsidRPr="007E32E5" w:rsidRDefault="00697999" w:rsidP="00320906">
            <w:pPr>
              <w:jc w:val="center"/>
              <w:rPr>
                <w:b/>
                <w:color w:val="FFFFFF" w:themeColor="background1"/>
              </w:rPr>
            </w:pPr>
            <w:r w:rsidRPr="007E32E5">
              <w:rPr>
                <w:b/>
                <w:color w:val="FFFFFF" w:themeColor="background1"/>
              </w:rPr>
              <w:t>Тарифы комиссионного вознаграждения</w:t>
            </w:r>
            <w:r w:rsidRPr="007E32E5">
              <w:rPr>
                <w:rStyle w:val="af5"/>
                <w:b/>
                <w:color w:val="FFFFFF" w:themeColor="background1"/>
              </w:rPr>
              <w:endnoteReference w:id="1"/>
            </w:r>
          </w:p>
        </w:tc>
        <w:tc>
          <w:tcPr>
            <w:tcW w:w="1418" w:type="dxa"/>
            <w:vMerge w:val="restart"/>
            <w:tcBorders>
              <w:top w:val="single" w:sz="4" w:space="0" w:color="auto"/>
              <w:left w:val="single" w:sz="4" w:space="0" w:color="000000" w:themeColor="text1"/>
              <w:right w:val="single" w:sz="4" w:space="0" w:color="auto"/>
            </w:tcBorders>
            <w:shd w:val="clear" w:color="auto" w:fill="FFFFE1"/>
            <w:vAlign w:val="center"/>
          </w:tcPr>
          <w:p w:rsidR="00697999" w:rsidRPr="007E32E5" w:rsidRDefault="00697999" w:rsidP="003464C9">
            <w:pPr>
              <w:ind w:left="-70"/>
              <w:jc w:val="center"/>
              <w:rPr>
                <w:b/>
              </w:rPr>
            </w:pPr>
            <w:r w:rsidRPr="007E32E5">
              <w:rPr>
                <w:b/>
                <w:bCs/>
                <w:color w:val="000000"/>
              </w:rPr>
              <w:t>Условия</w:t>
            </w:r>
            <w:r w:rsidRPr="007E32E5">
              <w:rPr>
                <w:b/>
                <w:bCs/>
                <w:color w:val="000000"/>
              </w:rPr>
              <w:br/>
              <w:t>взимания комиссии</w:t>
            </w:r>
          </w:p>
        </w:tc>
      </w:tr>
      <w:tr w:rsidR="00697999" w:rsidRPr="00875469" w:rsidTr="00F00306">
        <w:trPr>
          <w:trHeight w:val="260"/>
          <w:tblHeader/>
        </w:trPr>
        <w:tc>
          <w:tcPr>
            <w:tcW w:w="563" w:type="dxa"/>
            <w:vMerge/>
            <w:tcBorders>
              <w:left w:val="single" w:sz="4" w:space="0" w:color="auto"/>
              <w:right w:val="single" w:sz="4" w:space="0" w:color="auto"/>
            </w:tcBorders>
            <w:shd w:val="clear" w:color="auto" w:fill="FFFFE1"/>
            <w:vAlign w:val="center"/>
          </w:tcPr>
          <w:p w:rsidR="00697999" w:rsidRPr="00875469" w:rsidRDefault="00697999" w:rsidP="00320906">
            <w:pPr>
              <w:ind w:left="-70"/>
              <w:jc w:val="center"/>
              <w:rPr>
                <w:b/>
              </w:rPr>
            </w:pPr>
          </w:p>
        </w:tc>
        <w:tc>
          <w:tcPr>
            <w:tcW w:w="2835" w:type="dxa"/>
            <w:vMerge/>
            <w:tcBorders>
              <w:left w:val="single" w:sz="4" w:space="0" w:color="auto"/>
              <w:right w:val="single" w:sz="4" w:space="0" w:color="000000" w:themeColor="text1"/>
            </w:tcBorders>
            <w:shd w:val="clear" w:color="auto" w:fill="FFFFE1"/>
            <w:vAlign w:val="center"/>
          </w:tcPr>
          <w:p w:rsidR="00697999" w:rsidRPr="00875469" w:rsidRDefault="00697999" w:rsidP="00320906">
            <w:pPr>
              <w:jc w:val="center"/>
              <w:rPr>
                <w:b/>
              </w:rPr>
            </w:pPr>
          </w:p>
        </w:tc>
        <w:tc>
          <w:tcPr>
            <w:tcW w:w="2838" w:type="dxa"/>
            <w:gridSpan w:val="3"/>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782C2A"/>
            <w:vAlign w:val="center"/>
          </w:tcPr>
          <w:p w:rsidR="00697999" w:rsidRPr="007E32E5" w:rsidRDefault="00697999" w:rsidP="00320906">
            <w:pPr>
              <w:jc w:val="center"/>
              <w:rPr>
                <w:b/>
                <w:color w:val="FFFFFF" w:themeColor="background1"/>
              </w:rPr>
            </w:pPr>
            <w:r w:rsidRPr="007E32E5">
              <w:rPr>
                <w:b/>
                <w:color w:val="FFFFFF" w:themeColor="background1"/>
              </w:rPr>
              <w:t>в рублях РФ</w:t>
            </w:r>
          </w:p>
        </w:tc>
        <w:tc>
          <w:tcPr>
            <w:tcW w:w="2978"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782C2A"/>
            <w:vAlign w:val="center"/>
          </w:tcPr>
          <w:p w:rsidR="00697999" w:rsidRPr="007E32E5" w:rsidRDefault="00697999" w:rsidP="00320906">
            <w:pPr>
              <w:ind w:left="-250" w:firstLine="250"/>
              <w:jc w:val="center"/>
              <w:rPr>
                <w:b/>
                <w:color w:val="FFFFFF" w:themeColor="background1"/>
              </w:rPr>
            </w:pPr>
            <w:r w:rsidRPr="007E32E5">
              <w:rPr>
                <w:b/>
                <w:color w:val="FFFFFF" w:themeColor="background1"/>
              </w:rPr>
              <w:t>в долларах США</w:t>
            </w:r>
          </w:p>
        </w:tc>
        <w:tc>
          <w:tcPr>
            <w:tcW w:w="1418" w:type="dxa"/>
            <w:vMerge/>
            <w:tcBorders>
              <w:left w:val="single" w:sz="4" w:space="0" w:color="000000" w:themeColor="text1"/>
              <w:right w:val="single" w:sz="4" w:space="0" w:color="auto"/>
            </w:tcBorders>
            <w:shd w:val="clear" w:color="auto" w:fill="FFFFE1"/>
            <w:vAlign w:val="center"/>
          </w:tcPr>
          <w:p w:rsidR="00697999" w:rsidRPr="00875469" w:rsidRDefault="00697999" w:rsidP="00320906">
            <w:pPr>
              <w:ind w:left="-250" w:firstLine="250"/>
              <w:jc w:val="center"/>
              <w:rPr>
                <w:b/>
              </w:rPr>
            </w:pPr>
          </w:p>
        </w:tc>
      </w:tr>
      <w:tr w:rsidR="00697999" w:rsidRPr="00875469" w:rsidTr="00F00306">
        <w:trPr>
          <w:trHeight w:val="555"/>
          <w:tblHeader/>
        </w:trPr>
        <w:tc>
          <w:tcPr>
            <w:tcW w:w="563" w:type="dxa"/>
            <w:vMerge/>
            <w:tcBorders>
              <w:left w:val="single" w:sz="4" w:space="0" w:color="auto"/>
              <w:right w:val="single" w:sz="4" w:space="0" w:color="auto"/>
            </w:tcBorders>
            <w:shd w:val="clear" w:color="auto" w:fill="FFFFE1"/>
            <w:vAlign w:val="center"/>
          </w:tcPr>
          <w:p w:rsidR="00697999" w:rsidRPr="00875469" w:rsidRDefault="00697999" w:rsidP="00320906">
            <w:pPr>
              <w:ind w:left="-70"/>
              <w:jc w:val="center"/>
              <w:rPr>
                <w:b/>
              </w:rPr>
            </w:pPr>
          </w:p>
        </w:tc>
        <w:tc>
          <w:tcPr>
            <w:tcW w:w="2835" w:type="dxa"/>
            <w:vMerge/>
            <w:tcBorders>
              <w:left w:val="single" w:sz="4" w:space="0" w:color="auto"/>
              <w:right w:val="single" w:sz="4" w:space="0" w:color="000000" w:themeColor="text1"/>
            </w:tcBorders>
            <w:shd w:val="clear" w:color="auto" w:fill="FFFFE1"/>
            <w:vAlign w:val="center"/>
          </w:tcPr>
          <w:p w:rsidR="00697999" w:rsidRPr="00875469" w:rsidRDefault="00697999" w:rsidP="00320906">
            <w:pPr>
              <w:jc w:val="center"/>
              <w:rPr>
                <w:b/>
              </w:rPr>
            </w:pPr>
          </w:p>
        </w:tc>
        <w:tc>
          <w:tcPr>
            <w:tcW w:w="1986"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FFFFE1"/>
            <w:vAlign w:val="center"/>
          </w:tcPr>
          <w:p w:rsidR="00697999" w:rsidRPr="00F627F7" w:rsidRDefault="00697999" w:rsidP="00320906">
            <w:pPr>
              <w:jc w:val="center"/>
              <w:rPr>
                <w:b/>
                <w:sz w:val="16"/>
                <w:szCs w:val="16"/>
              </w:rPr>
            </w:pPr>
            <w:r w:rsidRPr="00F627F7">
              <w:rPr>
                <w:b/>
                <w:sz w:val="16"/>
                <w:szCs w:val="16"/>
              </w:rPr>
              <w:t>По депозитарному Договору</w:t>
            </w:r>
            <w:r w:rsidRPr="00F627F7">
              <w:rPr>
                <w:rStyle w:val="af5"/>
                <w:b/>
                <w:sz w:val="16"/>
                <w:szCs w:val="16"/>
              </w:rPr>
              <w:endnoteReference w:id="2"/>
            </w:r>
            <w:r w:rsidRPr="00F627F7">
              <w:rPr>
                <w:b/>
                <w:sz w:val="16"/>
                <w:szCs w:val="16"/>
              </w:rPr>
              <w:t xml:space="preserve"> </w:t>
            </w:r>
          </w:p>
        </w:tc>
        <w:tc>
          <w:tcPr>
            <w:tcW w:w="852" w:type="dxa"/>
            <w:vMerge w:val="restart"/>
            <w:tcBorders>
              <w:top w:val="single" w:sz="4" w:space="0" w:color="000000" w:themeColor="text1"/>
              <w:left w:val="single" w:sz="4" w:space="0" w:color="auto"/>
              <w:right w:val="single" w:sz="4" w:space="0" w:color="auto"/>
            </w:tcBorders>
            <w:shd w:val="clear" w:color="auto" w:fill="FFFFE1"/>
            <w:vAlign w:val="center"/>
          </w:tcPr>
          <w:p w:rsidR="00697999" w:rsidRPr="00045F61" w:rsidRDefault="00697999" w:rsidP="00CA4198">
            <w:pPr>
              <w:ind w:left="-70" w:right="-70"/>
              <w:jc w:val="center"/>
              <w:rPr>
                <w:b/>
                <w:sz w:val="16"/>
                <w:szCs w:val="16"/>
              </w:rPr>
            </w:pPr>
            <w:r w:rsidRPr="003464C9">
              <w:rPr>
                <w:b/>
                <w:sz w:val="16"/>
                <w:szCs w:val="16"/>
              </w:rPr>
              <w:t xml:space="preserve">По договору </w:t>
            </w:r>
            <w:r>
              <w:rPr>
                <w:b/>
                <w:sz w:val="16"/>
                <w:szCs w:val="16"/>
              </w:rPr>
              <w:t>КО</w:t>
            </w:r>
            <w:r>
              <w:rPr>
                <w:rStyle w:val="af5"/>
                <w:b/>
                <w:sz w:val="16"/>
                <w:szCs w:val="16"/>
              </w:rPr>
              <w:endnoteReference w:id="3"/>
            </w:r>
            <w:r>
              <w:rPr>
                <w:b/>
                <w:sz w:val="16"/>
                <w:szCs w:val="16"/>
              </w:rPr>
              <w:t xml:space="preserve"> </w:t>
            </w:r>
            <w:r w:rsidRPr="003464C9">
              <w:rPr>
                <w:b/>
                <w:sz w:val="16"/>
                <w:szCs w:val="16"/>
              </w:rPr>
              <w:t>на финансовом рынке</w:t>
            </w:r>
          </w:p>
        </w:tc>
        <w:tc>
          <w:tcPr>
            <w:tcW w:w="1986" w:type="dxa"/>
            <w:gridSpan w:val="2"/>
            <w:tcBorders>
              <w:top w:val="single" w:sz="4" w:space="0" w:color="000000" w:themeColor="text1"/>
              <w:left w:val="single" w:sz="4" w:space="0" w:color="auto"/>
              <w:right w:val="single" w:sz="4" w:space="0" w:color="auto"/>
            </w:tcBorders>
            <w:shd w:val="clear" w:color="auto" w:fill="FFFFE1"/>
            <w:vAlign w:val="center"/>
          </w:tcPr>
          <w:p w:rsidR="00697999" w:rsidRPr="00F627F7" w:rsidRDefault="00697999" w:rsidP="00320906">
            <w:pPr>
              <w:jc w:val="center"/>
              <w:rPr>
                <w:b/>
                <w:sz w:val="16"/>
                <w:szCs w:val="16"/>
                <w:lang w:val="en-US"/>
              </w:rPr>
            </w:pPr>
            <w:r w:rsidRPr="00F627F7">
              <w:rPr>
                <w:b/>
                <w:sz w:val="16"/>
                <w:szCs w:val="16"/>
              </w:rPr>
              <w:t>По депозитарному Договору</w:t>
            </w:r>
          </w:p>
        </w:tc>
        <w:tc>
          <w:tcPr>
            <w:tcW w:w="992" w:type="dxa"/>
            <w:vMerge w:val="restart"/>
            <w:tcBorders>
              <w:top w:val="single" w:sz="4" w:space="0" w:color="000000" w:themeColor="text1"/>
              <w:left w:val="single" w:sz="4" w:space="0" w:color="auto"/>
              <w:right w:val="single" w:sz="4" w:space="0" w:color="000000" w:themeColor="text1"/>
            </w:tcBorders>
            <w:shd w:val="clear" w:color="auto" w:fill="FFFFE1"/>
            <w:vAlign w:val="center"/>
          </w:tcPr>
          <w:p w:rsidR="00697999" w:rsidRPr="00045F61" w:rsidRDefault="00697999" w:rsidP="00CA4198">
            <w:pPr>
              <w:jc w:val="center"/>
              <w:rPr>
                <w:b/>
                <w:sz w:val="16"/>
                <w:szCs w:val="16"/>
              </w:rPr>
            </w:pPr>
            <w:r w:rsidRPr="003464C9">
              <w:rPr>
                <w:b/>
                <w:sz w:val="16"/>
                <w:szCs w:val="16"/>
              </w:rPr>
              <w:t>По договору</w:t>
            </w:r>
            <w:r>
              <w:rPr>
                <w:b/>
                <w:sz w:val="16"/>
                <w:szCs w:val="16"/>
              </w:rPr>
              <w:t xml:space="preserve"> КО</w:t>
            </w:r>
            <w:r w:rsidRPr="003464C9">
              <w:rPr>
                <w:b/>
                <w:sz w:val="16"/>
                <w:szCs w:val="16"/>
              </w:rPr>
              <w:t xml:space="preserve"> на финансовом рынке</w:t>
            </w:r>
          </w:p>
        </w:tc>
        <w:tc>
          <w:tcPr>
            <w:tcW w:w="1418" w:type="dxa"/>
            <w:vMerge/>
            <w:tcBorders>
              <w:left w:val="single" w:sz="4" w:space="0" w:color="000000" w:themeColor="text1"/>
              <w:right w:val="single" w:sz="4" w:space="0" w:color="auto"/>
            </w:tcBorders>
            <w:shd w:val="clear" w:color="auto" w:fill="FFFFE1"/>
            <w:vAlign w:val="center"/>
          </w:tcPr>
          <w:p w:rsidR="00697999" w:rsidRPr="00875469" w:rsidRDefault="00697999" w:rsidP="00320906">
            <w:pPr>
              <w:jc w:val="center"/>
              <w:rPr>
                <w:b/>
              </w:rPr>
            </w:pPr>
          </w:p>
        </w:tc>
      </w:tr>
      <w:tr w:rsidR="00697999" w:rsidRPr="00875469" w:rsidTr="00F00306">
        <w:trPr>
          <w:trHeight w:val="555"/>
          <w:tblHeader/>
        </w:trPr>
        <w:tc>
          <w:tcPr>
            <w:tcW w:w="563" w:type="dxa"/>
            <w:vMerge/>
            <w:tcBorders>
              <w:left w:val="single" w:sz="4" w:space="0" w:color="auto"/>
              <w:bottom w:val="single" w:sz="4" w:space="0" w:color="auto"/>
              <w:right w:val="single" w:sz="4" w:space="0" w:color="auto"/>
            </w:tcBorders>
            <w:shd w:val="clear" w:color="auto" w:fill="FFFFE1"/>
            <w:vAlign w:val="center"/>
          </w:tcPr>
          <w:p w:rsidR="00697999" w:rsidRPr="00875469" w:rsidRDefault="00697999" w:rsidP="00320906">
            <w:pPr>
              <w:ind w:left="-70"/>
              <w:jc w:val="center"/>
              <w:rPr>
                <w:b/>
              </w:rPr>
            </w:pPr>
          </w:p>
        </w:tc>
        <w:tc>
          <w:tcPr>
            <w:tcW w:w="2835" w:type="dxa"/>
            <w:vMerge/>
            <w:tcBorders>
              <w:left w:val="single" w:sz="4" w:space="0" w:color="auto"/>
              <w:bottom w:val="single" w:sz="4" w:space="0" w:color="auto"/>
              <w:right w:val="single" w:sz="4" w:space="0" w:color="000000" w:themeColor="text1"/>
            </w:tcBorders>
            <w:shd w:val="clear" w:color="auto" w:fill="FFFFE1"/>
            <w:vAlign w:val="center"/>
          </w:tcPr>
          <w:p w:rsidR="00697999" w:rsidRPr="00875469" w:rsidRDefault="00697999" w:rsidP="00320906">
            <w:pPr>
              <w:jc w:val="center"/>
              <w:rPr>
                <w:b/>
              </w:rPr>
            </w:pPr>
          </w:p>
        </w:tc>
        <w:tc>
          <w:tcPr>
            <w:tcW w:w="993" w:type="dxa"/>
            <w:tcBorders>
              <w:top w:val="single" w:sz="4" w:space="0" w:color="000000" w:themeColor="text1"/>
              <w:left w:val="single" w:sz="4" w:space="0" w:color="000000" w:themeColor="text1"/>
              <w:bottom w:val="single" w:sz="4" w:space="0" w:color="auto"/>
              <w:right w:val="single" w:sz="4" w:space="0" w:color="auto"/>
            </w:tcBorders>
            <w:shd w:val="clear" w:color="auto" w:fill="FFFFE1"/>
            <w:vAlign w:val="center"/>
          </w:tcPr>
          <w:p w:rsidR="00697999" w:rsidRPr="00F627F7" w:rsidRDefault="004D01E7" w:rsidP="004D01E7">
            <w:pPr>
              <w:jc w:val="center"/>
              <w:rPr>
                <w:b/>
                <w:sz w:val="16"/>
                <w:szCs w:val="16"/>
              </w:rPr>
            </w:pPr>
            <w:r w:rsidRPr="00F627F7">
              <w:rPr>
                <w:b/>
                <w:sz w:val="16"/>
                <w:szCs w:val="16"/>
              </w:rPr>
              <w:t>для ценных бумаг, обращающихся на организованном рынке</w:t>
            </w:r>
          </w:p>
        </w:tc>
        <w:tc>
          <w:tcPr>
            <w:tcW w:w="993" w:type="dxa"/>
            <w:tcBorders>
              <w:top w:val="single" w:sz="4" w:space="0" w:color="000000" w:themeColor="text1"/>
              <w:left w:val="single" w:sz="4" w:space="0" w:color="000000" w:themeColor="text1"/>
              <w:bottom w:val="single" w:sz="4" w:space="0" w:color="auto"/>
              <w:right w:val="single" w:sz="4" w:space="0" w:color="auto"/>
            </w:tcBorders>
            <w:shd w:val="clear" w:color="auto" w:fill="FFFFE1"/>
            <w:vAlign w:val="center"/>
          </w:tcPr>
          <w:p w:rsidR="00697999" w:rsidRPr="00F627F7" w:rsidRDefault="000F0B13" w:rsidP="00320906">
            <w:pPr>
              <w:jc w:val="center"/>
              <w:rPr>
                <w:b/>
                <w:sz w:val="16"/>
                <w:szCs w:val="16"/>
              </w:rPr>
            </w:pPr>
            <w:r w:rsidRPr="00F627F7">
              <w:rPr>
                <w:b/>
                <w:sz w:val="16"/>
                <w:szCs w:val="16"/>
              </w:rPr>
              <w:t>д</w:t>
            </w:r>
            <w:r w:rsidR="004D01E7" w:rsidRPr="00F627F7">
              <w:rPr>
                <w:b/>
                <w:sz w:val="16"/>
                <w:szCs w:val="16"/>
              </w:rPr>
              <w:t>ля ценных бумаг, учитываемых в реестрах</w:t>
            </w:r>
          </w:p>
        </w:tc>
        <w:tc>
          <w:tcPr>
            <w:tcW w:w="852" w:type="dxa"/>
            <w:vMerge/>
            <w:tcBorders>
              <w:left w:val="single" w:sz="4" w:space="0" w:color="auto"/>
              <w:bottom w:val="single" w:sz="4" w:space="0" w:color="auto"/>
              <w:right w:val="single" w:sz="4" w:space="0" w:color="auto"/>
            </w:tcBorders>
            <w:shd w:val="clear" w:color="auto" w:fill="FFFFE1"/>
            <w:vAlign w:val="center"/>
          </w:tcPr>
          <w:p w:rsidR="00697999" w:rsidRPr="003464C9" w:rsidRDefault="00697999" w:rsidP="00CA4198">
            <w:pPr>
              <w:ind w:left="-70" w:right="-70"/>
              <w:jc w:val="center"/>
              <w:rPr>
                <w:b/>
                <w:sz w:val="16"/>
                <w:szCs w:val="16"/>
              </w:rPr>
            </w:pPr>
          </w:p>
        </w:tc>
        <w:tc>
          <w:tcPr>
            <w:tcW w:w="993" w:type="dxa"/>
            <w:tcBorders>
              <w:left w:val="single" w:sz="4" w:space="0" w:color="auto"/>
              <w:bottom w:val="single" w:sz="4" w:space="0" w:color="auto"/>
              <w:right w:val="single" w:sz="4" w:space="0" w:color="auto"/>
            </w:tcBorders>
            <w:shd w:val="clear" w:color="auto" w:fill="FFFFE1"/>
            <w:vAlign w:val="center"/>
          </w:tcPr>
          <w:p w:rsidR="00697999" w:rsidRPr="00F627F7" w:rsidRDefault="004D01E7" w:rsidP="00320906">
            <w:pPr>
              <w:jc w:val="center"/>
              <w:rPr>
                <w:b/>
                <w:sz w:val="16"/>
                <w:szCs w:val="16"/>
              </w:rPr>
            </w:pPr>
            <w:r w:rsidRPr="00F627F7">
              <w:rPr>
                <w:b/>
                <w:sz w:val="16"/>
                <w:szCs w:val="16"/>
              </w:rPr>
              <w:t>для ценных бумаг, обращающихся на организованном рынке</w:t>
            </w:r>
          </w:p>
        </w:tc>
        <w:tc>
          <w:tcPr>
            <w:tcW w:w="993" w:type="dxa"/>
            <w:tcBorders>
              <w:left w:val="single" w:sz="4" w:space="0" w:color="auto"/>
              <w:bottom w:val="single" w:sz="4" w:space="0" w:color="auto"/>
              <w:right w:val="single" w:sz="4" w:space="0" w:color="auto"/>
            </w:tcBorders>
            <w:shd w:val="clear" w:color="auto" w:fill="FFFFE1"/>
            <w:vAlign w:val="center"/>
          </w:tcPr>
          <w:p w:rsidR="00697999" w:rsidRPr="00F627F7" w:rsidRDefault="004D01E7" w:rsidP="00320906">
            <w:pPr>
              <w:jc w:val="center"/>
              <w:rPr>
                <w:b/>
                <w:sz w:val="16"/>
                <w:szCs w:val="16"/>
              </w:rPr>
            </w:pPr>
            <w:r w:rsidRPr="00F627F7">
              <w:rPr>
                <w:b/>
                <w:sz w:val="16"/>
                <w:szCs w:val="16"/>
              </w:rPr>
              <w:t>Для ценных бумаг, учитываемых в реестрах</w:t>
            </w:r>
          </w:p>
        </w:tc>
        <w:tc>
          <w:tcPr>
            <w:tcW w:w="992" w:type="dxa"/>
            <w:vMerge/>
            <w:tcBorders>
              <w:left w:val="single" w:sz="4" w:space="0" w:color="auto"/>
              <w:bottom w:val="single" w:sz="4" w:space="0" w:color="auto"/>
              <w:right w:val="single" w:sz="4" w:space="0" w:color="000000" w:themeColor="text1"/>
            </w:tcBorders>
            <w:shd w:val="clear" w:color="auto" w:fill="FFFFE1"/>
            <w:vAlign w:val="center"/>
          </w:tcPr>
          <w:p w:rsidR="00697999" w:rsidRPr="003464C9" w:rsidRDefault="00697999" w:rsidP="00CA4198">
            <w:pPr>
              <w:jc w:val="center"/>
              <w:rPr>
                <w:b/>
                <w:sz w:val="16"/>
                <w:szCs w:val="16"/>
              </w:rPr>
            </w:pPr>
          </w:p>
        </w:tc>
        <w:tc>
          <w:tcPr>
            <w:tcW w:w="1418" w:type="dxa"/>
            <w:vMerge/>
            <w:tcBorders>
              <w:left w:val="single" w:sz="4" w:space="0" w:color="000000" w:themeColor="text1"/>
              <w:bottom w:val="single" w:sz="4" w:space="0" w:color="auto"/>
              <w:right w:val="single" w:sz="4" w:space="0" w:color="auto"/>
            </w:tcBorders>
            <w:shd w:val="clear" w:color="auto" w:fill="FFFFE1"/>
            <w:vAlign w:val="center"/>
          </w:tcPr>
          <w:p w:rsidR="00697999" w:rsidRPr="00875469" w:rsidRDefault="00697999" w:rsidP="00320906">
            <w:pPr>
              <w:jc w:val="center"/>
              <w:rPr>
                <w:b/>
              </w:rPr>
            </w:pPr>
          </w:p>
        </w:tc>
      </w:tr>
      <w:tr w:rsidR="00045F61" w:rsidRPr="00045F61" w:rsidTr="00850EB7">
        <w:tc>
          <w:tcPr>
            <w:tcW w:w="10632" w:type="dxa"/>
            <w:gridSpan w:val="9"/>
            <w:tcBorders>
              <w:top w:val="single" w:sz="4" w:space="0" w:color="auto"/>
              <w:left w:val="single" w:sz="4" w:space="0" w:color="auto"/>
              <w:bottom w:val="single" w:sz="4" w:space="0" w:color="auto"/>
              <w:right w:val="single" w:sz="4" w:space="0" w:color="auto"/>
            </w:tcBorders>
            <w:shd w:val="clear" w:color="auto" w:fill="782C2A"/>
          </w:tcPr>
          <w:p w:rsidR="00045F61" w:rsidRPr="007E32E5" w:rsidRDefault="00BC12A1" w:rsidP="00045F61">
            <w:pPr>
              <w:jc w:val="center"/>
              <w:rPr>
                <w:b/>
                <w:color w:val="FFFFFF" w:themeColor="background1"/>
                <w:sz w:val="22"/>
                <w:szCs w:val="22"/>
              </w:rPr>
            </w:pPr>
            <w:r w:rsidRPr="007E32E5">
              <w:rPr>
                <w:b/>
                <w:color w:val="FFFFFF" w:themeColor="background1"/>
                <w:sz w:val="22"/>
                <w:szCs w:val="22"/>
              </w:rPr>
              <w:t xml:space="preserve">1. </w:t>
            </w:r>
            <w:r w:rsidR="003464C9" w:rsidRPr="007E32E5">
              <w:rPr>
                <w:b/>
                <w:color w:val="FFFFFF" w:themeColor="background1"/>
                <w:sz w:val="22"/>
                <w:szCs w:val="22"/>
              </w:rPr>
              <w:t>Административные операции</w:t>
            </w:r>
          </w:p>
        </w:tc>
      </w:tr>
      <w:tr w:rsidR="0012487E" w:rsidRPr="00875469" w:rsidTr="00F00306">
        <w:trPr>
          <w:trHeight w:val="440"/>
        </w:trPr>
        <w:tc>
          <w:tcPr>
            <w:tcW w:w="563" w:type="dxa"/>
            <w:tcBorders>
              <w:top w:val="single" w:sz="4" w:space="0" w:color="auto"/>
              <w:left w:val="single" w:sz="4" w:space="0" w:color="auto"/>
              <w:bottom w:val="single" w:sz="4" w:space="0" w:color="auto"/>
              <w:right w:val="single" w:sz="4" w:space="0" w:color="auto"/>
            </w:tcBorders>
            <w:vAlign w:val="center"/>
          </w:tcPr>
          <w:p w:rsidR="008E287F" w:rsidRPr="00875469" w:rsidRDefault="00BC12A1" w:rsidP="00320906">
            <w:pPr>
              <w:ind w:left="-70"/>
              <w:jc w:val="center"/>
            </w:pPr>
            <w:r>
              <w:t>1.</w:t>
            </w:r>
            <w:r w:rsidR="008E287F" w:rsidRPr="00875469">
              <w:t>1</w:t>
            </w:r>
            <w:r>
              <w:t>.</w:t>
            </w:r>
          </w:p>
        </w:tc>
        <w:tc>
          <w:tcPr>
            <w:tcW w:w="2835" w:type="dxa"/>
            <w:tcBorders>
              <w:top w:val="single" w:sz="4" w:space="0" w:color="auto"/>
              <w:left w:val="single" w:sz="4" w:space="0" w:color="auto"/>
              <w:bottom w:val="single" w:sz="4" w:space="0" w:color="auto"/>
              <w:right w:val="single" w:sz="4" w:space="0" w:color="auto"/>
            </w:tcBorders>
            <w:vAlign w:val="center"/>
          </w:tcPr>
          <w:p w:rsidR="008E287F" w:rsidRPr="00942278" w:rsidRDefault="008E287F" w:rsidP="00320906">
            <w:pPr>
              <w:spacing w:line="-220" w:lineRule="auto"/>
            </w:pPr>
            <w:r w:rsidRPr="00942278">
              <w:t xml:space="preserve">Открытие </w:t>
            </w:r>
            <w:r w:rsidR="003464C9" w:rsidRPr="003464C9">
              <w:t>Счета Депо</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875469" w:rsidRDefault="008E287F" w:rsidP="00320906">
            <w:pPr>
              <w:jc w:val="center"/>
            </w:pPr>
            <w:r w:rsidRPr="00875469">
              <w:t>300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875469" w:rsidRDefault="00901B3B" w:rsidP="00E2454C">
            <w:pPr>
              <w:jc w:val="center"/>
            </w:pPr>
            <w:r w:rsidRPr="0038798C">
              <w:t>9</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045F61" w:rsidP="003464C9">
            <w:r>
              <w:t>з</w:t>
            </w:r>
            <w:r w:rsidR="00F65C34">
              <w:t>а опера</w:t>
            </w:r>
            <w:r>
              <w:t>цию</w:t>
            </w:r>
          </w:p>
        </w:tc>
      </w:tr>
      <w:tr w:rsidR="00320906" w:rsidRPr="00875469" w:rsidTr="00F00306">
        <w:trPr>
          <w:trHeight w:val="440"/>
        </w:trPr>
        <w:tc>
          <w:tcPr>
            <w:tcW w:w="563" w:type="dxa"/>
            <w:tcBorders>
              <w:top w:val="single" w:sz="4" w:space="0" w:color="auto"/>
              <w:left w:val="single" w:sz="4" w:space="0" w:color="auto"/>
              <w:bottom w:val="single" w:sz="4" w:space="0" w:color="auto"/>
              <w:right w:val="single" w:sz="4" w:space="0" w:color="auto"/>
            </w:tcBorders>
            <w:vAlign w:val="center"/>
          </w:tcPr>
          <w:p w:rsidR="00320906" w:rsidRPr="00875469" w:rsidRDefault="00BC12A1" w:rsidP="00320906">
            <w:pPr>
              <w:ind w:left="-70"/>
              <w:jc w:val="center"/>
            </w:pPr>
            <w:r>
              <w:t>1.</w:t>
            </w:r>
            <w:r w:rsidR="00320906" w:rsidRPr="00875469">
              <w:t>2</w:t>
            </w:r>
            <w:r>
              <w:t>.</w:t>
            </w:r>
          </w:p>
        </w:tc>
        <w:tc>
          <w:tcPr>
            <w:tcW w:w="2835" w:type="dxa"/>
            <w:tcBorders>
              <w:top w:val="single" w:sz="4" w:space="0" w:color="auto"/>
              <w:left w:val="single" w:sz="4" w:space="0" w:color="auto"/>
              <w:bottom w:val="single" w:sz="4" w:space="0" w:color="auto"/>
              <w:right w:val="single" w:sz="4" w:space="0" w:color="auto"/>
            </w:tcBorders>
            <w:vAlign w:val="center"/>
          </w:tcPr>
          <w:p w:rsidR="00320906" w:rsidRPr="00942278" w:rsidRDefault="00320906" w:rsidP="00320906">
            <w:pPr>
              <w:spacing w:line="-220" w:lineRule="auto"/>
            </w:pPr>
            <w:r w:rsidRPr="00942278">
              <w:t>Открытие</w:t>
            </w:r>
            <w:r>
              <w:t>/закрытие</w:t>
            </w:r>
            <w:r w:rsidRPr="00942278">
              <w:t xml:space="preserve"> </w:t>
            </w:r>
            <w:r>
              <w:t>Р</w:t>
            </w:r>
            <w:r w:rsidR="003464C9" w:rsidRPr="003464C9">
              <w:t>аздела счета депо</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320906" w:rsidRPr="00875469" w:rsidRDefault="00320906" w:rsidP="00320906">
            <w:pPr>
              <w:jc w:val="center"/>
            </w:pPr>
            <w:r>
              <w:t>не взимается</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3464C9" w:rsidP="003464C9"/>
        </w:tc>
      </w:tr>
      <w:tr w:rsidR="00320906" w:rsidRPr="00875469" w:rsidTr="00F00306">
        <w:trPr>
          <w:trHeight w:val="440"/>
        </w:trPr>
        <w:tc>
          <w:tcPr>
            <w:tcW w:w="563" w:type="dxa"/>
            <w:tcBorders>
              <w:top w:val="single" w:sz="4" w:space="0" w:color="auto"/>
              <w:left w:val="single" w:sz="4" w:space="0" w:color="auto"/>
              <w:bottom w:val="single" w:sz="4" w:space="0" w:color="auto"/>
              <w:right w:val="single" w:sz="4" w:space="0" w:color="auto"/>
            </w:tcBorders>
            <w:vAlign w:val="center"/>
          </w:tcPr>
          <w:p w:rsidR="00320906" w:rsidRPr="00875469" w:rsidRDefault="00BC12A1" w:rsidP="00320906">
            <w:pPr>
              <w:ind w:left="-70"/>
              <w:jc w:val="center"/>
            </w:pPr>
            <w:r>
              <w:t>1.</w:t>
            </w:r>
            <w:r w:rsidR="00320906" w:rsidRPr="00875469">
              <w:t>3</w:t>
            </w:r>
            <w:r>
              <w:t>.</w:t>
            </w:r>
          </w:p>
        </w:tc>
        <w:tc>
          <w:tcPr>
            <w:tcW w:w="2835" w:type="dxa"/>
            <w:tcBorders>
              <w:top w:val="single" w:sz="4" w:space="0" w:color="auto"/>
              <w:left w:val="single" w:sz="4" w:space="0" w:color="auto"/>
              <w:bottom w:val="single" w:sz="4" w:space="0" w:color="auto"/>
              <w:right w:val="single" w:sz="4" w:space="0" w:color="auto"/>
            </w:tcBorders>
            <w:vAlign w:val="center"/>
          </w:tcPr>
          <w:p w:rsidR="00320906" w:rsidRPr="00942278" w:rsidRDefault="00320906" w:rsidP="00320906">
            <w:pPr>
              <w:spacing w:line="-220" w:lineRule="auto"/>
            </w:pPr>
            <w:r w:rsidRPr="00942278">
              <w:t xml:space="preserve">Внесение изменений в анкетные данные </w:t>
            </w:r>
            <w:r w:rsidR="003464C9" w:rsidRPr="003464C9">
              <w:t>Депонента</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320906" w:rsidRPr="00875469" w:rsidRDefault="00320906" w:rsidP="00525AAA">
            <w:pPr>
              <w:jc w:val="center"/>
            </w:pPr>
            <w:r>
              <w:t>не взимаетс</w:t>
            </w:r>
            <w:r w:rsidR="00525AAA">
              <w:t>я</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3464C9" w:rsidP="003464C9"/>
        </w:tc>
      </w:tr>
      <w:tr w:rsidR="00320906" w:rsidRPr="00875469" w:rsidTr="00F00306">
        <w:trPr>
          <w:trHeight w:val="440"/>
        </w:trPr>
        <w:tc>
          <w:tcPr>
            <w:tcW w:w="563" w:type="dxa"/>
            <w:tcBorders>
              <w:top w:val="single" w:sz="4" w:space="0" w:color="auto"/>
              <w:left w:val="single" w:sz="4" w:space="0" w:color="auto"/>
              <w:bottom w:val="single" w:sz="4" w:space="0" w:color="auto"/>
              <w:right w:val="single" w:sz="4" w:space="0" w:color="auto"/>
            </w:tcBorders>
            <w:vAlign w:val="center"/>
          </w:tcPr>
          <w:p w:rsidR="00320906" w:rsidRPr="00875469" w:rsidRDefault="00BC12A1" w:rsidP="00320906">
            <w:pPr>
              <w:ind w:left="-70"/>
              <w:jc w:val="center"/>
            </w:pPr>
            <w:r>
              <w:t>1.</w:t>
            </w:r>
            <w:r w:rsidR="00320906" w:rsidRPr="00875469">
              <w:t>4</w:t>
            </w:r>
            <w:r>
              <w:t>.</w:t>
            </w:r>
          </w:p>
        </w:tc>
        <w:tc>
          <w:tcPr>
            <w:tcW w:w="2835" w:type="dxa"/>
            <w:tcBorders>
              <w:top w:val="single" w:sz="4" w:space="0" w:color="auto"/>
              <w:left w:val="single" w:sz="4" w:space="0" w:color="auto"/>
              <w:bottom w:val="single" w:sz="4" w:space="0" w:color="auto"/>
              <w:right w:val="single" w:sz="4" w:space="0" w:color="auto"/>
            </w:tcBorders>
            <w:vAlign w:val="center"/>
          </w:tcPr>
          <w:p w:rsidR="00320906" w:rsidRPr="00942278" w:rsidRDefault="00320906" w:rsidP="00320906">
            <w:pPr>
              <w:spacing w:line="-220" w:lineRule="auto"/>
            </w:pPr>
            <w:r w:rsidRPr="00942278">
              <w:t xml:space="preserve">Закрытие </w:t>
            </w:r>
            <w:r w:rsidR="003464C9" w:rsidRPr="003464C9">
              <w:t>Счет</w:t>
            </w:r>
            <w:r>
              <w:t>а</w:t>
            </w:r>
            <w:r w:rsidR="00BC5B55">
              <w:t xml:space="preserve"> Д</w:t>
            </w:r>
            <w:r w:rsidR="003464C9" w:rsidRPr="003464C9">
              <w:t>епо</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320906" w:rsidRPr="00875469" w:rsidRDefault="00320906" w:rsidP="00320906">
            <w:pPr>
              <w:jc w:val="center"/>
            </w:pPr>
            <w:r>
              <w:t>не взимается</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3464C9" w:rsidP="003464C9"/>
        </w:tc>
      </w:tr>
      <w:tr w:rsidR="00320906" w:rsidRPr="007E32E5" w:rsidTr="00850EB7">
        <w:tc>
          <w:tcPr>
            <w:tcW w:w="10632" w:type="dxa"/>
            <w:gridSpan w:val="9"/>
            <w:tcBorders>
              <w:top w:val="single" w:sz="4" w:space="0" w:color="auto"/>
              <w:left w:val="single" w:sz="4" w:space="0" w:color="auto"/>
              <w:bottom w:val="single" w:sz="4" w:space="0" w:color="auto"/>
              <w:right w:val="single" w:sz="4" w:space="0" w:color="auto"/>
            </w:tcBorders>
            <w:shd w:val="clear" w:color="auto" w:fill="782C2A"/>
          </w:tcPr>
          <w:p w:rsidR="00320906" w:rsidRPr="007E32E5" w:rsidRDefault="00BC12A1" w:rsidP="008E287F">
            <w:pPr>
              <w:jc w:val="center"/>
              <w:rPr>
                <w:b/>
                <w:color w:val="FFFFFF" w:themeColor="background1"/>
                <w:sz w:val="22"/>
                <w:szCs w:val="22"/>
              </w:rPr>
            </w:pPr>
            <w:r w:rsidRPr="007E32E5">
              <w:rPr>
                <w:b/>
                <w:color w:val="FFFFFF" w:themeColor="background1"/>
                <w:sz w:val="22"/>
                <w:szCs w:val="22"/>
              </w:rPr>
              <w:t xml:space="preserve">2. </w:t>
            </w:r>
            <w:r w:rsidR="003464C9" w:rsidRPr="007E32E5">
              <w:rPr>
                <w:b/>
                <w:color w:val="FFFFFF" w:themeColor="background1"/>
                <w:sz w:val="22"/>
                <w:szCs w:val="22"/>
              </w:rPr>
              <w:t>Операции с эмиссионными ценными бумагами</w:t>
            </w:r>
          </w:p>
        </w:tc>
      </w:tr>
      <w:tr w:rsidR="00CA4198"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CA4198" w:rsidRPr="00875469" w:rsidRDefault="00BC12A1" w:rsidP="00BC12A1">
            <w:pPr>
              <w:ind w:left="-70"/>
              <w:jc w:val="center"/>
            </w:pPr>
            <w:r>
              <w:t>2.1.</w:t>
            </w:r>
          </w:p>
        </w:tc>
        <w:tc>
          <w:tcPr>
            <w:tcW w:w="2835" w:type="dxa"/>
            <w:tcBorders>
              <w:top w:val="single" w:sz="4" w:space="0" w:color="auto"/>
              <w:left w:val="single" w:sz="4" w:space="0" w:color="auto"/>
              <w:bottom w:val="single" w:sz="4" w:space="0" w:color="auto"/>
              <w:right w:val="single" w:sz="4" w:space="0" w:color="auto"/>
            </w:tcBorders>
            <w:vAlign w:val="center"/>
          </w:tcPr>
          <w:p w:rsidR="00CA4198" w:rsidRPr="000B7876" w:rsidRDefault="00CA4198" w:rsidP="00522367">
            <w:pPr>
              <w:spacing w:line="-220" w:lineRule="auto"/>
            </w:pPr>
            <w:r w:rsidRPr="000B7876">
              <w:t xml:space="preserve">Зачисление и списание со </w:t>
            </w:r>
            <w:r w:rsidR="003464C9" w:rsidRPr="003464C9">
              <w:t>Счета Депо</w:t>
            </w:r>
            <w:r w:rsidRPr="000B7876">
              <w:t xml:space="preserve"> ценных бумаг, приобретаемых или продаваемых </w:t>
            </w:r>
            <w:r w:rsidR="003464C9" w:rsidRPr="003464C9">
              <w:t>Банком</w:t>
            </w:r>
            <w:r w:rsidRPr="000B7876">
              <w:t xml:space="preserve"> по поручению </w:t>
            </w:r>
            <w:r w:rsidR="003464C9" w:rsidRPr="003464C9">
              <w:t>Депонента</w:t>
            </w:r>
            <w:r w:rsidRPr="000B7876">
              <w:t xml:space="preserve"> в соответствии с </w:t>
            </w:r>
            <w:r w:rsidR="003464C9" w:rsidRPr="003464C9">
              <w:t xml:space="preserve">Договором </w:t>
            </w:r>
            <w:r w:rsidR="00522367">
              <w:t xml:space="preserve">КО </w:t>
            </w:r>
            <w:r w:rsidR="003464C9" w:rsidRPr="003464C9">
              <w:t>на финансовом рынке</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CA4198" w:rsidRPr="00875469" w:rsidRDefault="00CA4198" w:rsidP="00CA4198">
            <w:pPr>
              <w:jc w:val="center"/>
            </w:pPr>
            <w:r>
              <w:t>не взимается</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3464C9" w:rsidP="003464C9"/>
        </w:tc>
      </w:tr>
      <w:tr w:rsidR="00CA4198"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CA4198" w:rsidRPr="00875469" w:rsidRDefault="00BC12A1" w:rsidP="00BC12A1">
            <w:pPr>
              <w:ind w:left="-70"/>
              <w:jc w:val="center"/>
            </w:pPr>
            <w:r>
              <w:t>2.2.</w:t>
            </w:r>
          </w:p>
        </w:tc>
        <w:tc>
          <w:tcPr>
            <w:tcW w:w="2835" w:type="dxa"/>
            <w:tcBorders>
              <w:top w:val="single" w:sz="4" w:space="0" w:color="auto"/>
              <w:left w:val="single" w:sz="4" w:space="0" w:color="auto"/>
              <w:bottom w:val="single" w:sz="4" w:space="0" w:color="auto"/>
              <w:right w:val="single" w:sz="4" w:space="0" w:color="auto"/>
            </w:tcBorders>
            <w:vAlign w:val="center"/>
          </w:tcPr>
          <w:p w:rsidR="00CA4198" w:rsidRPr="000B7876" w:rsidRDefault="00CA4198" w:rsidP="00320906">
            <w:pPr>
              <w:spacing w:line="-220" w:lineRule="auto"/>
            </w:pPr>
            <w:r w:rsidRPr="000B7876">
              <w:t xml:space="preserve">Зачисление на </w:t>
            </w:r>
            <w:r w:rsidR="003464C9" w:rsidRPr="003464C9">
              <w:t>Счет</w:t>
            </w:r>
            <w:r w:rsidRPr="000B7876">
              <w:t xml:space="preserve"> </w:t>
            </w:r>
            <w:r w:rsidR="003464C9" w:rsidRPr="003464C9">
              <w:t xml:space="preserve">Депо </w:t>
            </w:r>
            <w:r w:rsidRPr="000B7876">
              <w:t xml:space="preserve">ценных бумаг при переводе из другого Депозитария или </w:t>
            </w:r>
            <w:r w:rsidR="003464C9" w:rsidRPr="003464C9">
              <w:t>Счета Депо</w:t>
            </w:r>
            <w:r w:rsidRPr="000B7876">
              <w:t xml:space="preserve"> третьего лица в Депозитарии </w:t>
            </w:r>
            <w:r w:rsidR="003464C9" w:rsidRPr="003464C9">
              <w:t>Банка</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CA4198" w:rsidRPr="00875469" w:rsidRDefault="00CA4198" w:rsidP="00CA4198">
            <w:pPr>
              <w:jc w:val="center"/>
            </w:pPr>
            <w:r>
              <w:t>не взимается</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3464C9" w:rsidP="003464C9"/>
        </w:tc>
      </w:tr>
      <w:tr w:rsidR="0012487E"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8E287F" w:rsidRPr="00875469" w:rsidRDefault="00BC12A1" w:rsidP="00BC12A1">
            <w:pPr>
              <w:ind w:left="-70"/>
              <w:jc w:val="center"/>
            </w:pPr>
            <w:r>
              <w:t>2.3.</w:t>
            </w:r>
          </w:p>
        </w:tc>
        <w:tc>
          <w:tcPr>
            <w:tcW w:w="2835" w:type="dxa"/>
            <w:tcBorders>
              <w:top w:val="single" w:sz="4" w:space="0" w:color="auto"/>
              <w:left w:val="single" w:sz="4" w:space="0" w:color="auto"/>
              <w:bottom w:val="single" w:sz="4" w:space="0" w:color="auto"/>
              <w:right w:val="single" w:sz="4" w:space="0" w:color="auto"/>
            </w:tcBorders>
            <w:vAlign w:val="center"/>
          </w:tcPr>
          <w:p w:rsidR="008E287F" w:rsidRPr="000B7876" w:rsidRDefault="008E287F" w:rsidP="00525AAA">
            <w:pPr>
              <w:spacing w:line="-220" w:lineRule="auto"/>
            </w:pPr>
            <w:r w:rsidRPr="000B7876">
              <w:t xml:space="preserve">Списание со </w:t>
            </w:r>
            <w:r w:rsidR="003464C9" w:rsidRPr="003464C9">
              <w:t>Счета Депо</w:t>
            </w:r>
            <w:r w:rsidRPr="000B7876">
              <w:t xml:space="preserve"> </w:t>
            </w:r>
            <w:r w:rsidR="003464C9" w:rsidRPr="003464C9">
              <w:t>Депонента</w:t>
            </w:r>
            <w:r w:rsidRPr="000B7876">
              <w:t xml:space="preserve"> ценных бумаг при исполнении поручения </w:t>
            </w:r>
            <w:r w:rsidR="00525AAA">
              <w:t xml:space="preserve">Депонента </w:t>
            </w:r>
            <w:r w:rsidRPr="000B7876">
              <w:t>на перевод ценных бумаг в другой депозитарий или реестр</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875469" w:rsidRDefault="008E287F" w:rsidP="00CA4198">
            <w:pPr>
              <w:jc w:val="center"/>
            </w:pPr>
            <w:r w:rsidRPr="00875469">
              <w:t>300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901B3B" w:rsidP="00CA4198">
            <w:pPr>
              <w:jc w:val="center"/>
            </w:pPr>
            <w:r w:rsidRPr="0038798C">
              <w:t>9</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CA4198" w:rsidP="003464C9">
            <w:r w:rsidRPr="000B7876">
              <w:t>взимается за каждую позицию в поручении</w:t>
            </w:r>
          </w:p>
        </w:tc>
      </w:tr>
      <w:tr w:rsidR="0012487E"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8E287F" w:rsidRPr="00875469" w:rsidRDefault="00BC12A1" w:rsidP="00BC12A1">
            <w:pPr>
              <w:ind w:left="-70"/>
              <w:jc w:val="center"/>
            </w:pPr>
            <w:r>
              <w:t>2.4.</w:t>
            </w:r>
          </w:p>
        </w:tc>
        <w:tc>
          <w:tcPr>
            <w:tcW w:w="2835" w:type="dxa"/>
            <w:tcBorders>
              <w:top w:val="single" w:sz="4" w:space="0" w:color="auto"/>
              <w:left w:val="single" w:sz="4" w:space="0" w:color="auto"/>
              <w:bottom w:val="single" w:sz="4" w:space="0" w:color="auto"/>
              <w:right w:val="single" w:sz="4" w:space="0" w:color="auto"/>
            </w:tcBorders>
            <w:vAlign w:val="center"/>
          </w:tcPr>
          <w:p w:rsidR="008E287F" w:rsidRPr="000B7876" w:rsidRDefault="008E287F" w:rsidP="00CA4198">
            <w:pPr>
              <w:spacing w:line="-220" w:lineRule="auto"/>
            </w:pPr>
            <w:r w:rsidRPr="000B7876">
              <w:t xml:space="preserve">Списание со </w:t>
            </w:r>
            <w:r w:rsidR="003464C9" w:rsidRPr="003464C9">
              <w:rPr>
                <w:iCs/>
              </w:rPr>
              <w:t>Счета Депо</w:t>
            </w:r>
            <w:r w:rsidRPr="000B7876">
              <w:t xml:space="preserve"> </w:t>
            </w:r>
            <w:r w:rsidR="003464C9" w:rsidRPr="003464C9">
              <w:t>Депонента</w:t>
            </w:r>
            <w:r w:rsidRPr="000B7876">
              <w:t xml:space="preserve"> ценных бумаг при исполнении поручения </w:t>
            </w:r>
            <w:r w:rsidR="003464C9" w:rsidRPr="003464C9">
              <w:t>Депонента</w:t>
            </w:r>
            <w:r w:rsidRPr="000B7876">
              <w:t xml:space="preserve"> на перевод ценных бумаг в депозитарии брокеров, подписавших с Банком агентское соглашение</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697999" w:rsidRDefault="00697999" w:rsidP="00CA4198">
            <w:pPr>
              <w:jc w:val="center"/>
              <w:rPr>
                <w:lang w:val="en-US"/>
              </w:rPr>
            </w:pPr>
            <w:r w:rsidRPr="00F627F7">
              <w:rPr>
                <w:lang w:val="en-US"/>
              </w:rPr>
              <w:t>75</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E2454C" w:rsidP="00CA4198">
            <w:pPr>
              <w:jc w:val="center"/>
            </w:pPr>
            <w:r w:rsidRPr="0038798C">
              <w:t>2</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CA4198" w:rsidP="003464C9">
            <w:r w:rsidRPr="000B7876">
              <w:t>взимается за каждую позицию в поручении</w:t>
            </w:r>
          </w:p>
        </w:tc>
      </w:tr>
      <w:tr w:rsidR="00CA4198" w:rsidRPr="00875469" w:rsidTr="00F00306">
        <w:trPr>
          <w:trHeight w:val="403"/>
        </w:trPr>
        <w:tc>
          <w:tcPr>
            <w:tcW w:w="563" w:type="dxa"/>
            <w:tcBorders>
              <w:top w:val="single" w:sz="4" w:space="0" w:color="auto"/>
              <w:left w:val="single" w:sz="4" w:space="0" w:color="auto"/>
              <w:bottom w:val="single" w:sz="4" w:space="0" w:color="auto"/>
              <w:right w:val="single" w:sz="4" w:space="0" w:color="auto"/>
            </w:tcBorders>
            <w:vAlign w:val="center"/>
          </w:tcPr>
          <w:p w:rsidR="00CA4198" w:rsidRPr="00875469" w:rsidRDefault="00BC12A1" w:rsidP="00BC12A1">
            <w:pPr>
              <w:ind w:left="-70"/>
              <w:jc w:val="center"/>
            </w:pPr>
            <w:r>
              <w:t>2.5.</w:t>
            </w:r>
          </w:p>
        </w:tc>
        <w:tc>
          <w:tcPr>
            <w:tcW w:w="2835" w:type="dxa"/>
            <w:tcBorders>
              <w:top w:val="single" w:sz="4" w:space="0" w:color="auto"/>
              <w:left w:val="single" w:sz="4" w:space="0" w:color="auto"/>
              <w:bottom w:val="single" w:sz="4" w:space="0" w:color="auto"/>
              <w:right w:val="single" w:sz="4" w:space="0" w:color="auto"/>
            </w:tcBorders>
            <w:vAlign w:val="center"/>
          </w:tcPr>
          <w:p w:rsidR="00CA4198" w:rsidRPr="000B7876" w:rsidRDefault="00CA4198" w:rsidP="00320906">
            <w:pPr>
              <w:spacing w:line="-220" w:lineRule="auto"/>
            </w:pPr>
            <w:r w:rsidRPr="000B7876">
              <w:t>Залог эмиссионных ценных бумаг</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CA4198" w:rsidRPr="00875469" w:rsidRDefault="00CA4198" w:rsidP="00CA4198">
            <w:pPr>
              <w:jc w:val="center"/>
            </w:pPr>
            <w:r>
              <w:t>не взимается</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3464C9" w:rsidP="003464C9"/>
        </w:tc>
      </w:tr>
      <w:tr w:rsidR="00A6582C" w:rsidRPr="00875469" w:rsidTr="00F00306">
        <w:trPr>
          <w:trHeight w:val="1256"/>
        </w:trPr>
        <w:tc>
          <w:tcPr>
            <w:tcW w:w="563" w:type="dxa"/>
            <w:tcBorders>
              <w:top w:val="single" w:sz="4" w:space="0" w:color="auto"/>
              <w:left w:val="single" w:sz="4" w:space="0" w:color="auto"/>
              <w:bottom w:val="single" w:sz="4" w:space="0" w:color="auto"/>
              <w:right w:val="single" w:sz="4" w:space="0" w:color="auto"/>
            </w:tcBorders>
            <w:vAlign w:val="center"/>
          </w:tcPr>
          <w:p w:rsidR="00A6582C" w:rsidRPr="00875469" w:rsidRDefault="00A6582C" w:rsidP="00BC12A1">
            <w:pPr>
              <w:ind w:left="-70"/>
              <w:jc w:val="center"/>
            </w:pPr>
            <w:r>
              <w:lastRenderedPageBreak/>
              <w:t>2.6.</w:t>
            </w:r>
          </w:p>
        </w:tc>
        <w:tc>
          <w:tcPr>
            <w:tcW w:w="2835" w:type="dxa"/>
            <w:tcBorders>
              <w:top w:val="single" w:sz="4" w:space="0" w:color="auto"/>
              <w:left w:val="single" w:sz="4" w:space="0" w:color="auto"/>
              <w:bottom w:val="single" w:sz="4" w:space="0" w:color="auto"/>
              <w:right w:val="single" w:sz="4" w:space="0" w:color="auto"/>
            </w:tcBorders>
            <w:vAlign w:val="center"/>
          </w:tcPr>
          <w:p w:rsidR="00A6582C" w:rsidRPr="000B7876" w:rsidRDefault="00A6582C" w:rsidP="00202629">
            <w:pPr>
              <w:spacing w:line="-220" w:lineRule="auto"/>
            </w:pPr>
            <w:r w:rsidRPr="000B7876">
              <w:t>Хранение и учет прав на ценные бумаги</w:t>
            </w:r>
            <w:r>
              <w:rPr>
                <w:rStyle w:val="af5"/>
              </w:rPr>
              <w:endnoteReference w:id="4"/>
            </w:r>
            <w:r w:rsidRPr="000B7876">
              <w:t xml:space="preserve"> </w:t>
            </w:r>
            <w:r w:rsidRPr="003464C9">
              <w:t xml:space="preserve">(кроме инвестиционных </w:t>
            </w:r>
            <w:proofErr w:type="gramStart"/>
            <w:r w:rsidRPr="003464C9">
              <w:t>паев</w:t>
            </w:r>
            <w:proofErr w:type="gramEnd"/>
            <w:r w:rsidR="00EA59B7">
              <w:t xml:space="preserve"> не допущенных к торгам  организатором торговли</w:t>
            </w:r>
            <w:r w:rsidRPr="00F627F7">
              <w:t>) для стоимости портфеля до 500 000 000 руб.</w:t>
            </w:r>
          </w:p>
        </w:tc>
        <w:tc>
          <w:tcPr>
            <w:tcW w:w="993" w:type="dxa"/>
            <w:tcBorders>
              <w:top w:val="single" w:sz="4" w:space="0" w:color="auto"/>
              <w:left w:val="single" w:sz="4" w:space="0" w:color="auto"/>
              <w:bottom w:val="single" w:sz="4" w:space="0" w:color="auto"/>
              <w:right w:val="single" w:sz="4" w:space="0" w:color="auto"/>
            </w:tcBorders>
            <w:vAlign w:val="center"/>
          </w:tcPr>
          <w:p w:rsidR="00A6582C" w:rsidRPr="00F627F7" w:rsidRDefault="00A6582C" w:rsidP="004D01E7">
            <w:pPr>
              <w:jc w:val="center"/>
            </w:pPr>
            <w:r w:rsidRPr="00F627F7">
              <w:t>0,01%</w:t>
            </w:r>
          </w:p>
          <w:p w:rsidR="00A6582C" w:rsidRPr="00875469" w:rsidRDefault="00A6582C" w:rsidP="004D01E7">
            <w:pPr>
              <w:jc w:val="center"/>
            </w:pPr>
            <w:r w:rsidRPr="00F627F7">
              <w:t xml:space="preserve">в месяц, </w:t>
            </w:r>
            <w:r w:rsidRPr="00F627F7">
              <w:rPr>
                <w:lang w:val="en-US"/>
              </w:rPr>
              <w:t>min </w:t>
            </w:r>
            <w:r w:rsidRPr="00F627F7">
              <w:t>500</w:t>
            </w:r>
          </w:p>
        </w:tc>
        <w:tc>
          <w:tcPr>
            <w:tcW w:w="993" w:type="dxa"/>
            <w:vMerge w:val="restart"/>
            <w:tcBorders>
              <w:top w:val="single" w:sz="4" w:space="0" w:color="auto"/>
              <w:left w:val="single" w:sz="4" w:space="0" w:color="auto"/>
              <w:right w:val="single" w:sz="4" w:space="0" w:color="auto"/>
            </w:tcBorders>
            <w:vAlign w:val="center"/>
          </w:tcPr>
          <w:p w:rsidR="00A6582C" w:rsidRPr="00875469" w:rsidRDefault="00A6582C" w:rsidP="00522367">
            <w:pPr>
              <w:jc w:val="center"/>
            </w:pPr>
            <w:r w:rsidRPr="00875469">
              <w:t>0,033% годовых,</w:t>
            </w:r>
            <w:r>
              <w:t xml:space="preserve"> </w:t>
            </w:r>
            <w:r>
              <w:rPr>
                <w:lang w:val="en-US"/>
              </w:rPr>
              <w:t>min</w:t>
            </w:r>
            <w:r>
              <w:t> </w:t>
            </w:r>
            <w:r w:rsidRPr="00875469">
              <w:t>1500</w:t>
            </w:r>
          </w:p>
        </w:tc>
        <w:tc>
          <w:tcPr>
            <w:tcW w:w="852" w:type="dxa"/>
            <w:tcBorders>
              <w:top w:val="single" w:sz="4" w:space="0" w:color="auto"/>
              <w:left w:val="single" w:sz="4" w:space="0" w:color="auto"/>
              <w:bottom w:val="single" w:sz="4" w:space="0" w:color="auto"/>
              <w:right w:val="single" w:sz="4" w:space="0" w:color="auto"/>
            </w:tcBorders>
            <w:vAlign w:val="center"/>
          </w:tcPr>
          <w:p w:rsidR="00A6582C" w:rsidRDefault="00A6582C" w:rsidP="00522367">
            <w:pPr>
              <w:jc w:val="center"/>
            </w:pPr>
            <w:r w:rsidRPr="00875469">
              <w:t>0,01</w:t>
            </w:r>
            <w:r>
              <w:t>%</w:t>
            </w:r>
          </w:p>
          <w:p w:rsidR="00A6582C" w:rsidRPr="00875469" w:rsidRDefault="00A6582C" w:rsidP="00522367">
            <w:pPr>
              <w:jc w:val="center"/>
            </w:pPr>
            <w:r w:rsidRPr="00875469">
              <w:t>в месяц,</w:t>
            </w:r>
            <w:r>
              <w:t xml:space="preserve"> </w:t>
            </w:r>
            <w:r>
              <w:rPr>
                <w:lang w:val="en-US"/>
              </w:rPr>
              <w:t>min </w:t>
            </w:r>
            <w:r w:rsidRPr="00875469">
              <w:t>500</w:t>
            </w:r>
          </w:p>
        </w:tc>
        <w:tc>
          <w:tcPr>
            <w:tcW w:w="993" w:type="dxa"/>
            <w:tcBorders>
              <w:top w:val="single" w:sz="4" w:space="0" w:color="auto"/>
              <w:left w:val="single" w:sz="4" w:space="0" w:color="auto"/>
              <w:bottom w:val="single" w:sz="4" w:space="0" w:color="auto"/>
              <w:right w:val="single" w:sz="4" w:space="0" w:color="auto"/>
            </w:tcBorders>
            <w:vAlign w:val="center"/>
          </w:tcPr>
          <w:p w:rsidR="00A6582C" w:rsidRPr="00F627F7" w:rsidRDefault="00A6582C" w:rsidP="004D01E7">
            <w:pPr>
              <w:jc w:val="center"/>
            </w:pPr>
            <w:r w:rsidRPr="00F627F7">
              <w:t>0,01%</w:t>
            </w:r>
          </w:p>
          <w:p w:rsidR="00A6582C" w:rsidRPr="00755AA4" w:rsidRDefault="00A6582C" w:rsidP="00755AA4">
            <w:pPr>
              <w:jc w:val="center"/>
              <w:rPr>
                <w:highlight w:val="yellow"/>
                <w:lang w:val="en-US"/>
              </w:rPr>
            </w:pPr>
            <w:r w:rsidRPr="00F627F7">
              <w:t xml:space="preserve">в месяц, </w:t>
            </w:r>
            <w:r w:rsidRPr="00F627F7">
              <w:rPr>
                <w:lang w:val="en-US"/>
              </w:rPr>
              <w:t>min </w:t>
            </w:r>
            <w:r w:rsidR="00755AA4">
              <w:rPr>
                <w:lang w:val="en-US"/>
              </w:rPr>
              <w:t>15</w:t>
            </w:r>
          </w:p>
        </w:tc>
        <w:tc>
          <w:tcPr>
            <w:tcW w:w="993" w:type="dxa"/>
            <w:vMerge w:val="restart"/>
            <w:tcBorders>
              <w:top w:val="single" w:sz="4" w:space="0" w:color="auto"/>
              <w:left w:val="single" w:sz="4" w:space="0" w:color="auto"/>
              <w:right w:val="single" w:sz="4" w:space="0" w:color="auto"/>
            </w:tcBorders>
            <w:vAlign w:val="center"/>
          </w:tcPr>
          <w:p w:rsidR="00A6582C" w:rsidRPr="00220D3A" w:rsidRDefault="00A6582C" w:rsidP="00BC5B55">
            <w:pPr>
              <w:jc w:val="center"/>
              <w:rPr>
                <w:highlight w:val="yellow"/>
              </w:rPr>
            </w:pPr>
            <w:r w:rsidRPr="0038798C">
              <w:t xml:space="preserve">0,033% годовых, </w:t>
            </w:r>
            <w:r w:rsidRPr="0038798C">
              <w:rPr>
                <w:lang w:val="en-US"/>
              </w:rPr>
              <w:t>min </w:t>
            </w:r>
            <w:r w:rsidRPr="0038798C">
              <w:t>45</w:t>
            </w:r>
          </w:p>
        </w:tc>
        <w:tc>
          <w:tcPr>
            <w:tcW w:w="992" w:type="dxa"/>
            <w:tcBorders>
              <w:top w:val="single" w:sz="4" w:space="0" w:color="auto"/>
              <w:left w:val="single" w:sz="4" w:space="0" w:color="auto"/>
              <w:bottom w:val="single" w:sz="4" w:space="0" w:color="auto"/>
              <w:right w:val="single" w:sz="4" w:space="0" w:color="auto"/>
            </w:tcBorders>
            <w:vAlign w:val="center"/>
          </w:tcPr>
          <w:p w:rsidR="00A6582C" w:rsidRPr="0038798C" w:rsidRDefault="00A6582C" w:rsidP="009044C2">
            <w:pPr>
              <w:jc w:val="center"/>
            </w:pPr>
            <w:r w:rsidRPr="0038798C">
              <w:t>0,01%</w:t>
            </w:r>
          </w:p>
          <w:p w:rsidR="00A6582C" w:rsidRPr="00220D3A" w:rsidRDefault="00A6582C" w:rsidP="009044C2">
            <w:pPr>
              <w:jc w:val="center"/>
              <w:rPr>
                <w:highlight w:val="yellow"/>
              </w:rPr>
            </w:pPr>
            <w:r w:rsidRPr="0038798C">
              <w:t xml:space="preserve">в месяц, </w:t>
            </w:r>
            <w:r w:rsidRPr="0038798C">
              <w:rPr>
                <w:lang w:val="en-US"/>
              </w:rPr>
              <w:t>min </w:t>
            </w:r>
            <w:r w:rsidRPr="0038798C">
              <w:t>15</w:t>
            </w:r>
          </w:p>
        </w:tc>
        <w:tc>
          <w:tcPr>
            <w:tcW w:w="1418" w:type="dxa"/>
            <w:vMerge w:val="restart"/>
            <w:tcBorders>
              <w:top w:val="single" w:sz="4" w:space="0" w:color="auto"/>
              <w:left w:val="single" w:sz="4" w:space="0" w:color="auto"/>
              <w:right w:val="single" w:sz="4" w:space="0" w:color="auto"/>
            </w:tcBorders>
            <w:vAlign w:val="center"/>
          </w:tcPr>
          <w:p w:rsidR="00A6582C" w:rsidRDefault="00A6582C" w:rsidP="009D36C5">
            <w:pPr>
              <w:spacing w:line="-220" w:lineRule="auto"/>
            </w:pPr>
            <w:r w:rsidRPr="00286ACE">
              <w:rPr>
                <w:rFonts w:ascii="Times New Roman CYR" w:hAnsi="Times New Roman CYR"/>
              </w:rPr>
              <w:t xml:space="preserve">рассчитывается </w:t>
            </w:r>
            <w:r>
              <w:rPr>
                <w:rFonts w:ascii="Times New Roman CYR" w:hAnsi="Times New Roman CYR"/>
              </w:rPr>
              <w:t>ежемесячно</w:t>
            </w:r>
            <w:r w:rsidRPr="00286ACE">
              <w:rPr>
                <w:rFonts w:ascii="Times New Roman CYR" w:hAnsi="Times New Roman CYR"/>
              </w:rPr>
              <w:t xml:space="preserve"> от </w:t>
            </w:r>
            <w:r w:rsidRPr="00286ACE">
              <w:rPr>
                <w:rFonts w:ascii="Times New Roman CYR" w:hAnsi="Times New Roman CYR" w:cs="Times New Roman CYR"/>
              </w:rPr>
              <w:t>рыночной или номинальной стоимости ценных бумаг</w:t>
            </w:r>
          </w:p>
        </w:tc>
      </w:tr>
      <w:tr w:rsidR="00A6582C"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A6582C" w:rsidRDefault="00A6582C" w:rsidP="00BC12A1">
            <w:pPr>
              <w:ind w:left="-70"/>
              <w:jc w:val="center"/>
            </w:pPr>
            <w:r>
              <w:t>2.7.</w:t>
            </w:r>
          </w:p>
        </w:tc>
        <w:tc>
          <w:tcPr>
            <w:tcW w:w="2835" w:type="dxa"/>
            <w:tcBorders>
              <w:top w:val="single" w:sz="4" w:space="0" w:color="auto"/>
              <w:left w:val="single" w:sz="4" w:space="0" w:color="auto"/>
              <w:bottom w:val="single" w:sz="4" w:space="0" w:color="auto"/>
              <w:right w:val="single" w:sz="4" w:space="0" w:color="auto"/>
            </w:tcBorders>
            <w:vAlign w:val="center"/>
          </w:tcPr>
          <w:p w:rsidR="00A6582C" w:rsidRPr="008C3AFF" w:rsidRDefault="00A6582C" w:rsidP="0002644F">
            <w:pPr>
              <w:spacing w:line="-220" w:lineRule="auto"/>
              <w:rPr>
                <w:highlight w:val="yellow"/>
              </w:rPr>
            </w:pPr>
            <w:r w:rsidRPr="00F627F7">
              <w:t>Хранение и учет прав на ценные бумаги (кроме инвестиционных паев</w:t>
            </w:r>
            <w:r w:rsidR="00C30F79">
              <w:t xml:space="preserve"> не допущенных к торгам  организатором торговли</w:t>
            </w:r>
            <w:r w:rsidRPr="00F627F7">
              <w:t>) для стоимости портфеля свыше 500 000 000 руб.</w:t>
            </w:r>
          </w:p>
        </w:tc>
        <w:tc>
          <w:tcPr>
            <w:tcW w:w="993" w:type="dxa"/>
            <w:tcBorders>
              <w:top w:val="single" w:sz="4" w:space="0" w:color="auto"/>
              <w:left w:val="single" w:sz="4" w:space="0" w:color="auto"/>
              <w:bottom w:val="single" w:sz="4" w:space="0" w:color="auto"/>
              <w:right w:val="single" w:sz="4" w:space="0" w:color="auto"/>
            </w:tcBorders>
            <w:vAlign w:val="center"/>
          </w:tcPr>
          <w:p w:rsidR="00A6582C" w:rsidRPr="00697999" w:rsidRDefault="00A6582C" w:rsidP="00202629">
            <w:pPr>
              <w:jc w:val="center"/>
              <w:rPr>
                <w:highlight w:val="magenta"/>
              </w:rPr>
            </w:pPr>
            <w:r w:rsidRPr="00F627F7">
              <w:t xml:space="preserve">0,00825% годовых, </w:t>
            </w:r>
            <w:r w:rsidRPr="00F627F7">
              <w:rPr>
                <w:lang w:val="en-US"/>
              </w:rPr>
              <w:t>min </w:t>
            </w:r>
            <w:r w:rsidRPr="00F627F7">
              <w:t>1500</w:t>
            </w:r>
          </w:p>
        </w:tc>
        <w:tc>
          <w:tcPr>
            <w:tcW w:w="993" w:type="dxa"/>
            <w:vMerge/>
            <w:tcBorders>
              <w:left w:val="single" w:sz="4" w:space="0" w:color="auto"/>
              <w:bottom w:val="single" w:sz="4" w:space="0" w:color="auto"/>
              <w:right w:val="single" w:sz="4" w:space="0" w:color="auto"/>
            </w:tcBorders>
            <w:vAlign w:val="center"/>
          </w:tcPr>
          <w:p w:rsidR="00A6582C" w:rsidRPr="00697999" w:rsidRDefault="00A6582C" w:rsidP="00202629">
            <w:pPr>
              <w:jc w:val="center"/>
              <w:rPr>
                <w:highlight w:val="magenta"/>
              </w:rPr>
            </w:pPr>
          </w:p>
        </w:tc>
        <w:tc>
          <w:tcPr>
            <w:tcW w:w="852" w:type="dxa"/>
            <w:tcBorders>
              <w:top w:val="single" w:sz="4" w:space="0" w:color="auto"/>
              <w:left w:val="single" w:sz="4" w:space="0" w:color="auto"/>
              <w:bottom w:val="single" w:sz="4" w:space="0" w:color="auto"/>
              <w:right w:val="single" w:sz="4" w:space="0" w:color="auto"/>
            </w:tcBorders>
            <w:vAlign w:val="center"/>
          </w:tcPr>
          <w:p w:rsidR="00A6582C" w:rsidRPr="00F627F7" w:rsidRDefault="00A6582C" w:rsidP="00B94BB4">
            <w:pPr>
              <w:jc w:val="center"/>
            </w:pPr>
            <w:r w:rsidRPr="00F627F7">
              <w:t>0,0025%</w:t>
            </w:r>
          </w:p>
          <w:p w:rsidR="00A6582C" w:rsidRPr="00697999" w:rsidRDefault="00A6582C" w:rsidP="00B94BB4">
            <w:pPr>
              <w:jc w:val="center"/>
              <w:rPr>
                <w:highlight w:val="magenta"/>
              </w:rPr>
            </w:pPr>
            <w:r w:rsidRPr="00F627F7">
              <w:t xml:space="preserve">в месяц, </w:t>
            </w:r>
            <w:r w:rsidRPr="00F627F7">
              <w:rPr>
                <w:lang w:val="en-US"/>
              </w:rPr>
              <w:t>min </w:t>
            </w:r>
            <w:r w:rsidRPr="00F627F7">
              <w:t>500</w:t>
            </w:r>
          </w:p>
        </w:tc>
        <w:tc>
          <w:tcPr>
            <w:tcW w:w="993" w:type="dxa"/>
            <w:tcBorders>
              <w:top w:val="single" w:sz="4" w:space="0" w:color="auto"/>
              <w:left w:val="single" w:sz="4" w:space="0" w:color="auto"/>
              <w:bottom w:val="single" w:sz="4" w:space="0" w:color="auto"/>
              <w:right w:val="single" w:sz="4" w:space="0" w:color="auto"/>
            </w:tcBorders>
            <w:vAlign w:val="center"/>
          </w:tcPr>
          <w:p w:rsidR="00A6582C" w:rsidRPr="00697999" w:rsidRDefault="00A6582C" w:rsidP="00202629">
            <w:pPr>
              <w:jc w:val="center"/>
              <w:rPr>
                <w:highlight w:val="magenta"/>
              </w:rPr>
            </w:pPr>
            <w:r w:rsidRPr="00F627F7">
              <w:t xml:space="preserve">0,00825% годовых, </w:t>
            </w:r>
            <w:r w:rsidRPr="00F627F7">
              <w:rPr>
                <w:lang w:val="en-US"/>
              </w:rPr>
              <w:t>min </w:t>
            </w:r>
            <w:r w:rsidRPr="00F627F7">
              <w:t>45</w:t>
            </w:r>
          </w:p>
        </w:tc>
        <w:tc>
          <w:tcPr>
            <w:tcW w:w="993" w:type="dxa"/>
            <w:vMerge/>
            <w:tcBorders>
              <w:left w:val="single" w:sz="4" w:space="0" w:color="auto"/>
              <w:bottom w:val="single" w:sz="4" w:space="0" w:color="auto"/>
              <w:right w:val="single" w:sz="4" w:space="0" w:color="auto"/>
            </w:tcBorders>
            <w:vAlign w:val="center"/>
          </w:tcPr>
          <w:p w:rsidR="00A6582C" w:rsidRPr="00697999" w:rsidRDefault="00A6582C" w:rsidP="00202629">
            <w:pPr>
              <w:jc w:val="center"/>
              <w:rPr>
                <w:highlight w:val="magenta"/>
              </w:rPr>
            </w:pPr>
          </w:p>
        </w:tc>
        <w:tc>
          <w:tcPr>
            <w:tcW w:w="992" w:type="dxa"/>
            <w:tcBorders>
              <w:top w:val="single" w:sz="4" w:space="0" w:color="auto"/>
              <w:left w:val="single" w:sz="4" w:space="0" w:color="auto"/>
              <w:bottom w:val="single" w:sz="4" w:space="0" w:color="auto"/>
              <w:right w:val="single" w:sz="4" w:space="0" w:color="auto"/>
            </w:tcBorders>
            <w:vAlign w:val="center"/>
          </w:tcPr>
          <w:p w:rsidR="00A6582C" w:rsidRPr="00F627F7" w:rsidRDefault="00A6582C" w:rsidP="00B94BB4">
            <w:pPr>
              <w:jc w:val="center"/>
            </w:pPr>
            <w:r w:rsidRPr="00F627F7">
              <w:t>0,0025%</w:t>
            </w:r>
          </w:p>
          <w:p w:rsidR="00A6582C" w:rsidRPr="00697999" w:rsidRDefault="00A6582C" w:rsidP="00B94BB4">
            <w:pPr>
              <w:jc w:val="center"/>
              <w:rPr>
                <w:highlight w:val="magenta"/>
              </w:rPr>
            </w:pPr>
            <w:r w:rsidRPr="00F627F7">
              <w:t xml:space="preserve">в месяц, </w:t>
            </w:r>
            <w:r w:rsidRPr="00F627F7">
              <w:rPr>
                <w:lang w:val="en-US"/>
              </w:rPr>
              <w:t>min </w:t>
            </w:r>
            <w:r w:rsidRPr="00F627F7">
              <w:t>15</w:t>
            </w:r>
          </w:p>
        </w:tc>
        <w:tc>
          <w:tcPr>
            <w:tcW w:w="1418" w:type="dxa"/>
            <w:vMerge/>
            <w:tcBorders>
              <w:left w:val="single" w:sz="4" w:space="0" w:color="auto"/>
              <w:bottom w:val="single" w:sz="4" w:space="0" w:color="auto"/>
              <w:right w:val="single" w:sz="4" w:space="0" w:color="auto"/>
            </w:tcBorders>
            <w:vAlign w:val="center"/>
          </w:tcPr>
          <w:p w:rsidR="00A6582C" w:rsidRPr="00286ACE" w:rsidRDefault="00A6582C" w:rsidP="009D36C5">
            <w:pPr>
              <w:spacing w:line="-220" w:lineRule="auto"/>
              <w:rPr>
                <w:rFonts w:ascii="Times New Roman CYR" w:hAnsi="Times New Roman CYR"/>
              </w:rPr>
            </w:pPr>
          </w:p>
        </w:tc>
      </w:tr>
      <w:tr w:rsidR="0012487E"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8E287F" w:rsidRPr="00875469" w:rsidRDefault="00BC12A1" w:rsidP="00EA59B7">
            <w:pPr>
              <w:ind w:left="-70"/>
              <w:jc w:val="center"/>
            </w:pPr>
            <w:r>
              <w:t>2.</w:t>
            </w:r>
            <w:r w:rsidR="008C3AFF">
              <w:t>8</w:t>
            </w:r>
            <w:r>
              <w:t>.</w:t>
            </w:r>
          </w:p>
        </w:tc>
        <w:tc>
          <w:tcPr>
            <w:tcW w:w="2835" w:type="dxa"/>
            <w:tcBorders>
              <w:top w:val="single" w:sz="4" w:space="0" w:color="auto"/>
              <w:left w:val="single" w:sz="4" w:space="0" w:color="auto"/>
              <w:bottom w:val="single" w:sz="4" w:space="0" w:color="auto"/>
              <w:right w:val="single" w:sz="4" w:space="0" w:color="auto"/>
            </w:tcBorders>
            <w:vAlign w:val="center"/>
          </w:tcPr>
          <w:p w:rsidR="008E287F" w:rsidRPr="000B7876" w:rsidRDefault="008E287F" w:rsidP="0012487E">
            <w:pPr>
              <w:spacing w:line="-220" w:lineRule="auto"/>
            </w:pPr>
            <w:r w:rsidRPr="000B7876">
              <w:t>Хранение и учет прав на инвестиционные паи</w:t>
            </w:r>
            <w:r w:rsidR="0012487E">
              <w:t>,</w:t>
            </w:r>
            <w:r w:rsidRPr="000B7876">
              <w:t xml:space="preserve"> не допущенные к торгам организатором торговли</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875469" w:rsidRDefault="008E287F" w:rsidP="0012487E">
            <w:pPr>
              <w:jc w:val="center"/>
            </w:pPr>
            <w:r w:rsidRPr="00875469">
              <w:t>3000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875469" w:rsidRDefault="00E2454C" w:rsidP="0012487E">
            <w:pPr>
              <w:jc w:val="center"/>
            </w:pPr>
            <w:r w:rsidRPr="0038798C">
              <w:t>85</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12487E" w:rsidP="005D6EEF">
            <w:r w:rsidRPr="000B7876">
              <w:rPr>
                <w:color w:val="000000"/>
              </w:rPr>
              <w:t>за инвестиционные паи каждого инвестиционного фонда не зависимо от количества паев</w:t>
            </w:r>
            <w:r w:rsidR="00EE4838">
              <w:t xml:space="preserve"> </w:t>
            </w:r>
            <w:r w:rsidR="005D6EEF">
              <w:rPr>
                <w:color w:val="000000"/>
              </w:rPr>
              <w:t>и</w:t>
            </w:r>
            <w:r w:rsidR="00EE4838" w:rsidRPr="00EE4838">
              <w:rPr>
                <w:color w:val="000000"/>
              </w:rPr>
              <w:t xml:space="preserve"> времени хранения в течение оплачиваемого месяца</w:t>
            </w:r>
          </w:p>
        </w:tc>
      </w:tr>
      <w:tr w:rsidR="004027AB" w:rsidRPr="00875469" w:rsidTr="00CC0B60">
        <w:trPr>
          <w:trHeight w:val="535"/>
        </w:trPr>
        <w:tc>
          <w:tcPr>
            <w:tcW w:w="563" w:type="dxa"/>
            <w:tcBorders>
              <w:top w:val="single" w:sz="4" w:space="0" w:color="auto"/>
              <w:left w:val="single" w:sz="4" w:space="0" w:color="auto"/>
              <w:bottom w:val="single" w:sz="4" w:space="0" w:color="auto"/>
              <w:right w:val="single" w:sz="4" w:space="0" w:color="auto"/>
            </w:tcBorders>
            <w:vAlign w:val="center"/>
          </w:tcPr>
          <w:p w:rsidR="00D51BBD" w:rsidRPr="000A27EF" w:rsidRDefault="004027AB" w:rsidP="000A27EF">
            <w:pPr>
              <w:ind w:left="-70"/>
              <w:jc w:val="center"/>
              <w:rPr>
                <w:lang w:val="en-US"/>
              </w:rPr>
            </w:pPr>
            <w:r>
              <w:t>2</w:t>
            </w:r>
            <w:r w:rsidR="000A27EF">
              <w:rPr>
                <w:lang w:val="en-US"/>
              </w:rPr>
              <w:t>.</w:t>
            </w:r>
            <w:r>
              <w:t>9</w:t>
            </w:r>
            <w:r w:rsidR="000A27EF">
              <w:rPr>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4027AB" w:rsidRDefault="004027AB" w:rsidP="00CC0B60">
            <w:pPr>
              <w:spacing w:line="-220" w:lineRule="auto"/>
            </w:pPr>
            <w:r w:rsidRPr="000B7876">
              <w:t xml:space="preserve">Хранение и учет прав на </w:t>
            </w:r>
            <w:r>
              <w:t>ценные бумаги</w:t>
            </w:r>
            <w:r w:rsidRPr="00EA59B7">
              <w:t xml:space="preserve"> </w:t>
            </w:r>
            <w:r>
              <w:t xml:space="preserve">для юридических </w:t>
            </w:r>
            <w:proofErr w:type="spellStart"/>
            <w:proofErr w:type="gramStart"/>
            <w:r>
              <w:t>лиц-лицензированных</w:t>
            </w:r>
            <w:proofErr w:type="spellEnd"/>
            <w:proofErr w:type="gramEnd"/>
            <w:r>
              <w:t xml:space="preserve"> </w:t>
            </w:r>
            <w:proofErr w:type="spellStart"/>
            <w:r>
              <w:t>профучастников</w:t>
            </w:r>
            <w:proofErr w:type="spellEnd"/>
            <w:r>
              <w:t xml:space="preserve"> с депозитом/остатком на счете в АКБ «Держава» ПАО свыше 50 млн. руб./1млн. долларов/евро</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4027AB" w:rsidRDefault="004027AB" w:rsidP="00CC0B60">
            <w:pPr>
              <w:jc w:val="center"/>
            </w:pPr>
            <w:r>
              <w:t>не взимается</w:t>
            </w:r>
          </w:p>
        </w:tc>
        <w:tc>
          <w:tcPr>
            <w:tcW w:w="1418" w:type="dxa"/>
            <w:tcBorders>
              <w:top w:val="single" w:sz="4" w:space="0" w:color="auto"/>
              <w:left w:val="single" w:sz="4" w:space="0" w:color="auto"/>
              <w:bottom w:val="single" w:sz="4" w:space="0" w:color="auto"/>
              <w:right w:val="single" w:sz="4" w:space="0" w:color="auto"/>
            </w:tcBorders>
            <w:vAlign w:val="center"/>
          </w:tcPr>
          <w:p w:rsidR="004027AB" w:rsidRDefault="004027AB" w:rsidP="00CC0B60"/>
        </w:tc>
      </w:tr>
      <w:tr w:rsidR="0012487E" w:rsidRPr="00875469" w:rsidTr="00F00306">
        <w:trPr>
          <w:trHeight w:val="535"/>
        </w:trPr>
        <w:tc>
          <w:tcPr>
            <w:tcW w:w="563" w:type="dxa"/>
            <w:tcBorders>
              <w:top w:val="single" w:sz="4" w:space="0" w:color="auto"/>
              <w:left w:val="single" w:sz="4" w:space="0" w:color="auto"/>
              <w:bottom w:val="single" w:sz="4" w:space="0" w:color="auto"/>
              <w:right w:val="single" w:sz="4" w:space="0" w:color="auto"/>
            </w:tcBorders>
            <w:vAlign w:val="center"/>
          </w:tcPr>
          <w:p w:rsidR="00D51BBD" w:rsidRDefault="00BC12A1">
            <w:pPr>
              <w:ind w:left="-70"/>
              <w:jc w:val="center"/>
            </w:pPr>
            <w:r>
              <w:t>2.</w:t>
            </w:r>
            <w:r w:rsidR="00EA59B7">
              <w:t>10</w:t>
            </w:r>
            <w:r>
              <w:t>.</w:t>
            </w:r>
          </w:p>
        </w:tc>
        <w:tc>
          <w:tcPr>
            <w:tcW w:w="2835" w:type="dxa"/>
            <w:tcBorders>
              <w:top w:val="single" w:sz="4" w:space="0" w:color="auto"/>
              <w:left w:val="single" w:sz="4" w:space="0" w:color="auto"/>
              <w:bottom w:val="single" w:sz="4" w:space="0" w:color="auto"/>
              <w:right w:val="single" w:sz="4" w:space="0" w:color="auto"/>
            </w:tcBorders>
            <w:vAlign w:val="center"/>
          </w:tcPr>
          <w:p w:rsidR="00D51BBD" w:rsidRDefault="0012487E">
            <w:pPr>
              <w:spacing w:line="-220" w:lineRule="auto"/>
            </w:pPr>
            <w:r w:rsidRPr="000B7876">
              <w:t xml:space="preserve">Хранение и учет прав на облигации эмитента АКБ «Держава» </w:t>
            </w:r>
            <w:r w:rsidR="00EA59B7">
              <w:t>П</w:t>
            </w:r>
            <w:r w:rsidRPr="000B7876">
              <w:t>АО</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12487E" w:rsidRPr="00875469" w:rsidRDefault="0012487E" w:rsidP="0012487E">
            <w:pPr>
              <w:jc w:val="center"/>
            </w:pPr>
            <w:r>
              <w:t>не взимается</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3464C9" w:rsidP="003464C9"/>
        </w:tc>
      </w:tr>
      <w:tr w:rsidR="00320906" w:rsidRPr="007E32E5" w:rsidTr="00405DD8">
        <w:trPr>
          <w:trHeight w:val="86"/>
        </w:trPr>
        <w:tc>
          <w:tcPr>
            <w:tcW w:w="10632" w:type="dxa"/>
            <w:gridSpan w:val="9"/>
            <w:tcBorders>
              <w:top w:val="single" w:sz="4" w:space="0" w:color="auto"/>
              <w:left w:val="single" w:sz="4" w:space="0" w:color="auto"/>
              <w:bottom w:val="single" w:sz="4" w:space="0" w:color="auto"/>
              <w:right w:val="single" w:sz="4" w:space="0" w:color="auto"/>
            </w:tcBorders>
            <w:shd w:val="clear" w:color="auto" w:fill="782C2A"/>
          </w:tcPr>
          <w:p w:rsidR="00320906" w:rsidRPr="007E32E5" w:rsidRDefault="00BC12A1" w:rsidP="000B2AF4">
            <w:pPr>
              <w:jc w:val="center"/>
              <w:rPr>
                <w:b/>
                <w:color w:val="FFFFFF" w:themeColor="background1"/>
                <w:sz w:val="22"/>
                <w:szCs w:val="22"/>
              </w:rPr>
            </w:pPr>
            <w:r w:rsidRPr="007E32E5">
              <w:rPr>
                <w:b/>
                <w:color w:val="FFFFFF" w:themeColor="background1"/>
                <w:sz w:val="22"/>
                <w:szCs w:val="22"/>
              </w:rPr>
              <w:t xml:space="preserve">3. </w:t>
            </w:r>
            <w:r w:rsidR="003464C9" w:rsidRPr="007E32E5">
              <w:rPr>
                <w:b/>
                <w:color w:val="FFFFFF" w:themeColor="background1"/>
                <w:sz w:val="22"/>
                <w:szCs w:val="22"/>
              </w:rPr>
              <w:t>Операции с документарными неэмиссионными ценными бумагами</w:t>
            </w:r>
          </w:p>
        </w:tc>
      </w:tr>
      <w:tr w:rsidR="0012487E" w:rsidRPr="00875469" w:rsidTr="00F00306">
        <w:trPr>
          <w:trHeight w:val="521"/>
        </w:trPr>
        <w:tc>
          <w:tcPr>
            <w:tcW w:w="563" w:type="dxa"/>
            <w:tcBorders>
              <w:top w:val="single" w:sz="4" w:space="0" w:color="auto"/>
              <w:left w:val="single" w:sz="4" w:space="0" w:color="auto"/>
              <w:bottom w:val="single" w:sz="4" w:space="0" w:color="auto"/>
              <w:right w:val="single" w:sz="4" w:space="0" w:color="auto"/>
            </w:tcBorders>
            <w:vAlign w:val="center"/>
          </w:tcPr>
          <w:p w:rsidR="0012487E" w:rsidRPr="00875469" w:rsidRDefault="00C36FCC" w:rsidP="00BC12A1">
            <w:pPr>
              <w:ind w:left="-70"/>
              <w:jc w:val="center"/>
            </w:pPr>
            <w:r>
              <w:t>3.1.</w:t>
            </w:r>
          </w:p>
        </w:tc>
        <w:tc>
          <w:tcPr>
            <w:tcW w:w="2835" w:type="dxa"/>
            <w:tcBorders>
              <w:top w:val="single" w:sz="4" w:space="0" w:color="auto"/>
              <w:left w:val="single" w:sz="4" w:space="0" w:color="auto"/>
              <w:bottom w:val="single" w:sz="4" w:space="0" w:color="auto"/>
              <w:right w:val="single" w:sz="4" w:space="0" w:color="auto"/>
            </w:tcBorders>
            <w:vAlign w:val="center"/>
          </w:tcPr>
          <w:p w:rsidR="0012487E" w:rsidRPr="000B7876" w:rsidRDefault="0012487E" w:rsidP="00C36FCC">
            <w:pPr>
              <w:spacing w:line="-220" w:lineRule="auto"/>
            </w:pPr>
            <w:r w:rsidRPr="000B7876">
              <w:t>Прием на хранение ценных бумаг</w:t>
            </w:r>
            <w:r w:rsidR="00C36FCC">
              <w:rPr>
                <w:rStyle w:val="af5"/>
              </w:rPr>
              <w:endnoteReference w:id="5"/>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12487E" w:rsidRPr="0038798C" w:rsidRDefault="00BC12A1" w:rsidP="001F24C9">
            <w:pPr>
              <w:jc w:val="center"/>
            </w:pPr>
            <w:r w:rsidRPr="0038798C">
              <w:t>300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12487E" w:rsidRPr="0038798C" w:rsidRDefault="00901B3B" w:rsidP="00BC12A1">
            <w:pPr>
              <w:jc w:val="center"/>
            </w:pPr>
            <w:r w:rsidRPr="0038798C">
              <w:t>9</w:t>
            </w:r>
          </w:p>
        </w:tc>
        <w:tc>
          <w:tcPr>
            <w:tcW w:w="1418" w:type="dxa"/>
            <w:tcBorders>
              <w:top w:val="single" w:sz="4" w:space="0" w:color="auto"/>
              <w:left w:val="single" w:sz="4" w:space="0" w:color="auto"/>
              <w:bottom w:val="single" w:sz="4" w:space="0" w:color="auto"/>
              <w:right w:val="single" w:sz="4" w:space="0" w:color="auto"/>
            </w:tcBorders>
            <w:vAlign w:val="center"/>
          </w:tcPr>
          <w:p w:rsidR="0012487E" w:rsidRPr="0038798C" w:rsidRDefault="0012487E" w:rsidP="001F24C9">
            <w:r w:rsidRPr="0038798C">
              <w:t>за бланк/закладную</w:t>
            </w:r>
          </w:p>
        </w:tc>
      </w:tr>
      <w:tr w:rsidR="00BC12A1"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BC12A1" w:rsidRPr="00875469" w:rsidRDefault="00C36FCC" w:rsidP="00C36FCC">
            <w:pPr>
              <w:ind w:left="-70"/>
              <w:jc w:val="center"/>
            </w:pPr>
            <w:r>
              <w:t>3.2.</w:t>
            </w:r>
          </w:p>
        </w:tc>
        <w:tc>
          <w:tcPr>
            <w:tcW w:w="2835" w:type="dxa"/>
            <w:tcBorders>
              <w:top w:val="single" w:sz="4" w:space="0" w:color="auto"/>
              <w:left w:val="single" w:sz="4" w:space="0" w:color="auto"/>
              <w:bottom w:val="single" w:sz="4" w:space="0" w:color="auto"/>
              <w:right w:val="single" w:sz="4" w:space="0" w:color="auto"/>
            </w:tcBorders>
            <w:vAlign w:val="center"/>
          </w:tcPr>
          <w:p w:rsidR="00BC12A1" w:rsidRPr="00D117C0" w:rsidRDefault="00C36FCC" w:rsidP="00C36FCC">
            <w:pPr>
              <w:spacing w:line="-220" w:lineRule="auto"/>
            </w:pPr>
            <w:r>
              <w:t>Хранение и учет прав</w:t>
            </w:r>
            <w:r w:rsidR="00755FA8">
              <w:t xml:space="preserve"> на</w:t>
            </w:r>
            <w:r>
              <w:t xml:space="preserve"> </w:t>
            </w:r>
            <w:r w:rsidR="00755FA8">
              <w:t>ценные</w:t>
            </w:r>
            <w:r>
              <w:t xml:space="preserve"> бумаг</w:t>
            </w:r>
            <w:r w:rsidR="00755FA8">
              <w:t>и</w:t>
            </w:r>
            <w:r w:rsidR="00D117C0">
              <w:rPr>
                <w:rStyle w:val="af5"/>
              </w:rPr>
              <w:endnoteReference w:id="6"/>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BC12A1" w:rsidRPr="0038798C" w:rsidRDefault="00C36FCC" w:rsidP="00D117C0">
            <w:pPr>
              <w:jc w:val="center"/>
            </w:pPr>
            <w:r w:rsidRPr="0038798C">
              <w:t xml:space="preserve">0,05% </w:t>
            </w:r>
            <w:r w:rsidR="00D117C0" w:rsidRPr="0038798C">
              <w:t>в месяц,</w:t>
            </w:r>
            <w:r w:rsidR="00D117C0" w:rsidRPr="0038798C">
              <w:br/>
            </w:r>
            <w:r w:rsidRPr="0038798C">
              <w:rPr>
                <w:lang w:val="en-US"/>
              </w:rPr>
              <w:t>m</w:t>
            </w:r>
            <w:r w:rsidR="00D117C0" w:rsidRPr="0038798C">
              <w:rPr>
                <w:lang w:val="en-US"/>
              </w:rPr>
              <w:t>ax</w:t>
            </w:r>
            <w:r w:rsidRPr="0038798C">
              <w:rPr>
                <w:lang w:val="en-US"/>
              </w:rPr>
              <w:t> </w:t>
            </w:r>
            <w:r w:rsidR="00D117C0" w:rsidRPr="0038798C">
              <w:t>3</w:t>
            </w:r>
            <w:r w:rsidRPr="0038798C">
              <w:t>000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BC12A1" w:rsidRPr="0038798C" w:rsidRDefault="00755FA8" w:rsidP="00D117C0">
            <w:pPr>
              <w:jc w:val="center"/>
            </w:pPr>
            <w:r w:rsidRPr="0038798C">
              <w:t xml:space="preserve">0,05% </w:t>
            </w:r>
            <w:r w:rsidR="00D117C0" w:rsidRPr="0038798C">
              <w:t>в месяц</w:t>
            </w:r>
            <w:r w:rsidRPr="0038798C">
              <w:t>,</w:t>
            </w:r>
            <w:r w:rsidRPr="0038798C">
              <w:br/>
            </w:r>
            <w:r w:rsidRPr="0038798C">
              <w:rPr>
                <w:lang w:val="en-US"/>
              </w:rPr>
              <w:t>m</w:t>
            </w:r>
            <w:r w:rsidR="00D117C0" w:rsidRPr="0038798C">
              <w:rPr>
                <w:lang w:val="en-US"/>
              </w:rPr>
              <w:t>ax</w:t>
            </w:r>
            <w:r w:rsidRPr="0038798C">
              <w:t> </w:t>
            </w:r>
            <w:r w:rsidR="00D117C0" w:rsidRPr="0038798C">
              <w:rPr>
                <w:lang w:val="en-US"/>
              </w:rPr>
              <w:t>85</w:t>
            </w:r>
          </w:p>
        </w:tc>
        <w:tc>
          <w:tcPr>
            <w:tcW w:w="1418" w:type="dxa"/>
            <w:tcBorders>
              <w:top w:val="single" w:sz="4" w:space="0" w:color="auto"/>
              <w:left w:val="single" w:sz="4" w:space="0" w:color="auto"/>
              <w:bottom w:val="single" w:sz="4" w:space="0" w:color="auto"/>
              <w:right w:val="single" w:sz="4" w:space="0" w:color="auto"/>
            </w:tcBorders>
            <w:vAlign w:val="center"/>
          </w:tcPr>
          <w:p w:rsidR="00BC12A1" w:rsidRPr="000B7876" w:rsidRDefault="00735025" w:rsidP="00735025">
            <w:r>
              <w:t>рассчитывается е</w:t>
            </w:r>
            <w:r w:rsidR="00C36FCC" w:rsidRPr="00C36FCC">
              <w:t>жемесячно</w:t>
            </w:r>
            <w:r w:rsidR="00D4752E">
              <w:t xml:space="preserve"> от номинальной стоимости ценных бумаг</w:t>
            </w:r>
          </w:p>
        </w:tc>
      </w:tr>
      <w:tr w:rsidR="0012487E" w:rsidRPr="00875469" w:rsidTr="00F00306">
        <w:trPr>
          <w:trHeight w:val="541"/>
        </w:trPr>
        <w:tc>
          <w:tcPr>
            <w:tcW w:w="563" w:type="dxa"/>
            <w:tcBorders>
              <w:top w:val="single" w:sz="4" w:space="0" w:color="auto"/>
              <w:left w:val="single" w:sz="4" w:space="0" w:color="auto"/>
              <w:bottom w:val="single" w:sz="4" w:space="0" w:color="auto"/>
              <w:right w:val="single" w:sz="4" w:space="0" w:color="auto"/>
            </w:tcBorders>
            <w:vAlign w:val="center"/>
          </w:tcPr>
          <w:p w:rsidR="003464C9" w:rsidRDefault="00C36FCC" w:rsidP="003464C9">
            <w:r>
              <w:lastRenderedPageBreak/>
              <w:t>3.3.</w:t>
            </w:r>
          </w:p>
        </w:tc>
        <w:tc>
          <w:tcPr>
            <w:tcW w:w="2835" w:type="dxa"/>
            <w:tcBorders>
              <w:top w:val="single" w:sz="4" w:space="0" w:color="auto"/>
              <w:left w:val="single" w:sz="4" w:space="0" w:color="auto"/>
              <w:bottom w:val="single" w:sz="4" w:space="0" w:color="auto"/>
              <w:right w:val="single" w:sz="4" w:space="0" w:color="auto"/>
            </w:tcBorders>
            <w:vAlign w:val="center"/>
          </w:tcPr>
          <w:p w:rsidR="008E287F" w:rsidRPr="000B7876" w:rsidRDefault="008E287F" w:rsidP="009E569F">
            <w:pPr>
              <w:spacing w:line="-220" w:lineRule="auto"/>
            </w:pPr>
            <w:r w:rsidRPr="000B7876">
              <w:t>Снятие с учета/</w:t>
            </w:r>
            <w:r w:rsidR="001F24C9">
              <w:t>в</w:t>
            </w:r>
            <w:r w:rsidRPr="000B7876">
              <w:t>ыдача из хранения ценных бумаг</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9E569F" w:rsidP="001F24C9">
            <w:pPr>
              <w:jc w:val="center"/>
            </w:pPr>
            <w:r w:rsidRPr="0038798C">
              <w:t>3</w:t>
            </w:r>
            <w:r w:rsidR="008E287F" w:rsidRPr="0038798C">
              <w:t>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901B3B" w:rsidP="001F24C9">
            <w:pPr>
              <w:jc w:val="center"/>
            </w:pPr>
            <w:r w:rsidRPr="0038798C">
              <w:t>9</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1F24C9" w:rsidP="003464C9">
            <w:r w:rsidRPr="000B7876">
              <w:t>за бланк/закладную</w:t>
            </w:r>
          </w:p>
        </w:tc>
      </w:tr>
      <w:tr w:rsidR="009E569F"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9E569F" w:rsidRPr="00875469" w:rsidRDefault="009E569F" w:rsidP="000B2AF4">
            <w:pPr>
              <w:ind w:left="-70"/>
              <w:jc w:val="center"/>
            </w:pPr>
            <w:r>
              <w:t>3.4.</w:t>
            </w:r>
          </w:p>
        </w:tc>
        <w:tc>
          <w:tcPr>
            <w:tcW w:w="2835" w:type="dxa"/>
            <w:tcBorders>
              <w:top w:val="single" w:sz="4" w:space="0" w:color="auto"/>
              <w:left w:val="single" w:sz="4" w:space="0" w:color="auto"/>
              <w:bottom w:val="single" w:sz="4" w:space="0" w:color="auto"/>
              <w:right w:val="single" w:sz="4" w:space="0" w:color="auto"/>
            </w:tcBorders>
            <w:vAlign w:val="center"/>
          </w:tcPr>
          <w:p w:rsidR="009E569F" w:rsidRPr="000B7876" w:rsidRDefault="009E569F" w:rsidP="009E569F">
            <w:pPr>
              <w:spacing w:line="-220" w:lineRule="auto"/>
            </w:pPr>
            <w:r w:rsidRPr="009E569F">
              <w:t>Регистрация возникновения/</w:t>
            </w:r>
            <w:r w:rsidR="007E32E5">
              <w:t xml:space="preserve"> </w:t>
            </w:r>
            <w:r w:rsidRPr="009E569F">
              <w:t>прекращения залога ценных бумаг на счете Депонента-залогодателя</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9E569F" w:rsidRPr="0038798C" w:rsidRDefault="009E569F" w:rsidP="009E569F">
            <w:pPr>
              <w:jc w:val="center"/>
            </w:pPr>
            <w:r w:rsidRPr="0038798C">
              <w:t>500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9E569F" w:rsidRPr="0038798C" w:rsidRDefault="009E569F" w:rsidP="001F24C9">
            <w:pPr>
              <w:jc w:val="center"/>
            </w:pPr>
            <w:r w:rsidRPr="0038798C">
              <w:t>15</w:t>
            </w:r>
          </w:p>
        </w:tc>
        <w:tc>
          <w:tcPr>
            <w:tcW w:w="1418" w:type="dxa"/>
            <w:tcBorders>
              <w:top w:val="single" w:sz="4" w:space="0" w:color="auto"/>
              <w:left w:val="single" w:sz="4" w:space="0" w:color="auto"/>
              <w:bottom w:val="single" w:sz="4" w:space="0" w:color="auto"/>
              <w:right w:val="single" w:sz="4" w:space="0" w:color="auto"/>
            </w:tcBorders>
            <w:vAlign w:val="center"/>
          </w:tcPr>
          <w:p w:rsidR="009E569F" w:rsidRPr="000B7876" w:rsidRDefault="00D4752E" w:rsidP="00320906">
            <w:r w:rsidRPr="000B7876">
              <w:t>за бланк/закладную</w:t>
            </w:r>
            <w:r w:rsidR="009E569F" w:rsidRPr="009E569F">
              <w:t xml:space="preserve"> (оплачивает залогодатель)</w:t>
            </w:r>
          </w:p>
        </w:tc>
      </w:tr>
      <w:tr w:rsidR="0012487E" w:rsidRPr="00875469" w:rsidTr="00F00306">
        <w:trPr>
          <w:trHeight w:val="651"/>
        </w:trPr>
        <w:tc>
          <w:tcPr>
            <w:tcW w:w="563" w:type="dxa"/>
            <w:tcBorders>
              <w:top w:val="single" w:sz="4" w:space="0" w:color="auto"/>
              <w:left w:val="single" w:sz="4" w:space="0" w:color="auto"/>
              <w:bottom w:val="single" w:sz="4" w:space="0" w:color="auto"/>
              <w:right w:val="single" w:sz="4" w:space="0" w:color="auto"/>
            </w:tcBorders>
            <w:vAlign w:val="center"/>
          </w:tcPr>
          <w:p w:rsidR="003464C9" w:rsidRDefault="009E569F" w:rsidP="003464C9">
            <w:r>
              <w:t>3.5.</w:t>
            </w:r>
          </w:p>
        </w:tc>
        <w:tc>
          <w:tcPr>
            <w:tcW w:w="2835" w:type="dxa"/>
            <w:tcBorders>
              <w:top w:val="single" w:sz="4" w:space="0" w:color="auto"/>
              <w:left w:val="single" w:sz="4" w:space="0" w:color="auto"/>
              <w:bottom w:val="single" w:sz="4" w:space="0" w:color="auto"/>
              <w:right w:val="single" w:sz="4" w:space="0" w:color="auto"/>
            </w:tcBorders>
            <w:vAlign w:val="center"/>
          </w:tcPr>
          <w:p w:rsidR="008E287F" w:rsidRPr="000B7876" w:rsidRDefault="008E287F" w:rsidP="001F24C9">
            <w:pPr>
              <w:spacing w:line="-220" w:lineRule="auto"/>
            </w:pPr>
            <w:r w:rsidRPr="000B7876">
              <w:t>Перевод ценных бумаг по счетам депо (внутридепозитарный перевод)</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901B3B" w:rsidP="00901B3B">
            <w:pPr>
              <w:jc w:val="center"/>
            </w:pPr>
            <w:r w:rsidRPr="0038798C">
              <w:t>3</w:t>
            </w:r>
            <w:r w:rsidR="008E287F" w:rsidRPr="0038798C">
              <w:t>50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8E287F" w:rsidP="001F24C9">
            <w:pPr>
              <w:jc w:val="center"/>
            </w:pPr>
            <w:r w:rsidRPr="0038798C">
              <w:t>1</w:t>
            </w:r>
            <w:r w:rsidR="00901B3B" w:rsidRPr="0038798C">
              <w:t>0</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1F24C9" w:rsidP="003464C9">
            <w:r w:rsidRPr="000B7876">
              <w:t>за бланк/закладную</w:t>
            </w:r>
          </w:p>
        </w:tc>
      </w:tr>
      <w:tr w:rsidR="0012487E"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8E287F" w:rsidRPr="00875469" w:rsidRDefault="009E569F" w:rsidP="000B2AF4">
            <w:pPr>
              <w:ind w:left="-70"/>
              <w:jc w:val="center"/>
            </w:pPr>
            <w:r>
              <w:t>3.</w:t>
            </w:r>
            <w:r w:rsidR="00405DD8">
              <w:t>6</w:t>
            </w:r>
            <w:r>
              <w:t>.</w:t>
            </w:r>
          </w:p>
        </w:tc>
        <w:tc>
          <w:tcPr>
            <w:tcW w:w="2835" w:type="dxa"/>
            <w:tcBorders>
              <w:top w:val="single" w:sz="4" w:space="0" w:color="auto"/>
              <w:left w:val="single" w:sz="4" w:space="0" w:color="auto"/>
              <w:bottom w:val="single" w:sz="4" w:space="0" w:color="auto"/>
              <w:right w:val="single" w:sz="4" w:space="0" w:color="auto"/>
            </w:tcBorders>
            <w:vAlign w:val="center"/>
          </w:tcPr>
          <w:p w:rsidR="003464C9" w:rsidRDefault="00E3439F" w:rsidP="003464C9">
            <w:pPr>
              <w:spacing w:line="-220" w:lineRule="auto"/>
            </w:pPr>
            <w:r w:rsidRPr="00E3439F">
              <w:t>Изменение места хранения (перемещение) ценных бумаг по поручению Депонента</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E3439F" w:rsidP="001F24C9">
            <w:pPr>
              <w:jc w:val="center"/>
            </w:pPr>
            <w:r w:rsidRPr="0038798C">
              <w:t>7</w:t>
            </w:r>
            <w:r w:rsidR="008E287F" w:rsidRPr="0038798C">
              <w:t>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E3439F" w:rsidP="001F24C9">
            <w:pPr>
              <w:jc w:val="center"/>
            </w:pPr>
            <w:r w:rsidRPr="0038798C">
              <w:t>20</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8619EA" w:rsidP="003464C9">
            <w:r w:rsidRPr="000B7876">
              <w:t>за бланк/закладную</w:t>
            </w:r>
          </w:p>
        </w:tc>
      </w:tr>
      <w:tr w:rsidR="0012487E" w:rsidRPr="00875469" w:rsidTr="00F00306">
        <w:trPr>
          <w:trHeight w:val="597"/>
        </w:trPr>
        <w:tc>
          <w:tcPr>
            <w:tcW w:w="563" w:type="dxa"/>
            <w:tcBorders>
              <w:top w:val="single" w:sz="4" w:space="0" w:color="auto"/>
              <w:left w:val="single" w:sz="4" w:space="0" w:color="auto"/>
              <w:bottom w:val="single" w:sz="4" w:space="0" w:color="auto"/>
              <w:right w:val="single" w:sz="4" w:space="0" w:color="auto"/>
            </w:tcBorders>
            <w:vAlign w:val="center"/>
          </w:tcPr>
          <w:p w:rsidR="008E287F" w:rsidRPr="00875469" w:rsidRDefault="009E569F" w:rsidP="000B2AF4">
            <w:pPr>
              <w:ind w:left="-70"/>
              <w:jc w:val="center"/>
            </w:pPr>
            <w:r>
              <w:t>3.</w:t>
            </w:r>
            <w:r w:rsidR="00405DD8">
              <w:t>7</w:t>
            </w:r>
            <w:r>
              <w:t>.</w:t>
            </w:r>
          </w:p>
        </w:tc>
        <w:tc>
          <w:tcPr>
            <w:tcW w:w="2835" w:type="dxa"/>
            <w:tcBorders>
              <w:top w:val="single" w:sz="4" w:space="0" w:color="auto"/>
              <w:left w:val="single" w:sz="4" w:space="0" w:color="auto"/>
              <w:bottom w:val="single" w:sz="4" w:space="0" w:color="auto"/>
              <w:right w:val="single" w:sz="4" w:space="0" w:color="auto"/>
            </w:tcBorders>
            <w:vAlign w:val="center"/>
          </w:tcPr>
          <w:p w:rsidR="008E287F" w:rsidRPr="000B7876" w:rsidRDefault="008E287F" w:rsidP="00320906">
            <w:pPr>
              <w:spacing w:line="-220" w:lineRule="auto"/>
            </w:pPr>
            <w:r w:rsidRPr="000B7876">
              <w:t>Добавление/изъятие документов, прилагаемых к закладной</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E3439F" w:rsidP="001F24C9">
            <w:pPr>
              <w:jc w:val="center"/>
            </w:pPr>
            <w:r w:rsidRPr="0038798C">
              <w:t>3</w:t>
            </w:r>
            <w:r w:rsidR="008E287F" w:rsidRPr="0038798C">
              <w:t>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E3439F" w:rsidP="001F24C9">
            <w:pPr>
              <w:jc w:val="center"/>
            </w:pPr>
            <w:r w:rsidRPr="0038798C">
              <w:t>9</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BC12A1" w:rsidP="003464C9">
            <w:r>
              <w:t>за операцию</w:t>
            </w:r>
          </w:p>
        </w:tc>
      </w:tr>
      <w:tr w:rsidR="0012487E" w:rsidRPr="00875469" w:rsidTr="00F00306">
        <w:trPr>
          <w:trHeight w:val="563"/>
        </w:trPr>
        <w:tc>
          <w:tcPr>
            <w:tcW w:w="563" w:type="dxa"/>
            <w:tcBorders>
              <w:top w:val="single" w:sz="4" w:space="0" w:color="auto"/>
              <w:left w:val="single" w:sz="4" w:space="0" w:color="auto"/>
              <w:bottom w:val="single" w:sz="4" w:space="0" w:color="auto"/>
              <w:right w:val="single" w:sz="4" w:space="0" w:color="auto"/>
            </w:tcBorders>
            <w:vAlign w:val="center"/>
          </w:tcPr>
          <w:p w:rsidR="008E287F" w:rsidRPr="00875469" w:rsidRDefault="009E569F" w:rsidP="000B2AF4">
            <w:pPr>
              <w:ind w:left="-70"/>
              <w:jc w:val="center"/>
            </w:pPr>
            <w:r>
              <w:t>3.</w:t>
            </w:r>
            <w:r w:rsidR="00405DD8">
              <w:t>8</w:t>
            </w:r>
            <w:r>
              <w:t>.</w:t>
            </w:r>
          </w:p>
        </w:tc>
        <w:tc>
          <w:tcPr>
            <w:tcW w:w="2835" w:type="dxa"/>
            <w:tcBorders>
              <w:top w:val="single" w:sz="4" w:space="0" w:color="auto"/>
              <w:left w:val="single" w:sz="4" w:space="0" w:color="auto"/>
              <w:bottom w:val="single" w:sz="4" w:space="0" w:color="auto"/>
              <w:right w:val="single" w:sz="4" w:space="0" w:color="auto"/>
            </w:tcBorders>
            <w:vAlign w:val="center"/>
          </w:tcPr>
          <w:p w:rsidR="008E287F" w:rsidRPr="000B7876" w:rsidRDefault="008E287F" w:rsidP="001F24C9">
            <w:pPr>
              <w:spacing w:line="-220" w:lineRule="auto"/>
            </w:pPr>
            <w:r w:rsidRPr="000B7876">
              <w:t xml:space="preserve">Выдача по запросу </w:t>
            </w:r>
            <w:r w:rsidR="003464C9" w:rsidRPr="003464C9">
              <w:t>Депонента</w:t>
            </w:r>
            <w:r w:rsidRPr="000B7876">
              <w:t xml:space="preserve"> копий документов</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E3439F" w:rsidP="001F24C9">
            <w:pPr>
              <w:jc w:val="center"/>
            </w:pPr>
            <w:r w:rsidRPr="0038798C">
              <w:t>1</w:t>
            </w:r>
            <w:r w:rsidR="008E287F" w:rsidRPr="0038798C">
              <w:t>00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38798C" w:rsidRDefault="00E3439F" w:rsidP="001F24C9">
            <w:pPr>
              <w:jc w:val="center"/>
            </w:pPr>
            <w:r w:rsidRPr="0038798C">
              <w:t>3</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1F24C9" w:rsidP="003464C9">
            <w:r>
              <w:t xml:space="preserve">за </w:t>
            </w:r>
            <w:r w:rsidRPr="000B7876">
              <w:t>лист</w:t>
            </w:r>
          </w:p>
        </w:tc>
      </w:tr>
      <w:tr w:rsidR="00320906" w:rsidRPr="007E32E5" w:rsidTr="00850EB7">
        <w:tc>
          <w:tcPr>
            <w:tcW w:w="10632" w:type="dxa"/>
            <w:gridSpan w:val="9"/>
            <w:tcBorders>
              <w:top w:val="single" w:sz="4" w:space="0" w:color="auto"/>
              <w:left w:val="single" w:sz="4" w:space="0" w:color="auto"/>
              <w:bottom w:val="single" w:sz="4" w:space="0" w:color="auto"/>
              <w:right w:val="single" w:sz="4" w:space="0" w:color="auto"/>
            </w:tcBorders>
            <w:shd w:val="clear" w:color="auto" w:fill="782C2A"/>
          </w:tcPr>
          <w:p w:rsidR="00320906" w:rsidRPr="007E32E5" w:rsidRDefault="00BC12A1" w:rsidP="000B2AF4">
            <w:pPr>
              <w:jc w:val="center"/>
              <w:rPr>
                <w:b/>
                <w:color w:val="FFFFFF" w:themeColor="background1"/>
                <w:sz w:val="22"/>
                <w:szCs w:val="22"/>
              </w:rPr>
            </w:pPr>
            <w:r w:rsidRPr="007E32E5">
              <w:rPr>
                <w:b/>
                <w:color w:val="FFFFFF" w:themeColor="background1"/>
                <w:sz w:val="22"/>
                <w:szCs w:val="22"/>
              </w:rPr>
              <w:t xml:space="preserve">4. </w:t>
            </w:r>
            <w:r w:rsidR="003464C9" w:rsidRPr="007E32E5">
              <w:rPr>
                <w:b/>
                <w:color w:val="FFFFFF" w:themeColor="background1"/>
                <w:sz w:val="22"/>
                <w:szCs w:val="22"/>
              </w:rPr>
              <w:t>Информационные операции</w:t>
            </w:r>
          </w:p>
        </w:tc>
      </w:tr>
      <w:tr w:rsidR="001F24C9" w:rsidRPr="00875469" w:rsidTr="00F00306">
        <w:trPr>
          <w:trHeight w:val="547"/>
        </w:trPr>
        <w:tc>
          <w:tcPr>
            <w:tcW w:w="563" w:type="dxa"/>
            <w:tcBorders>
              <w:top w:val="single" w:sz="4" w:space="0" w:color="auto"/>
              <w:left w:val="single" w:sz="4" w:space="0" w:color="auto"/>
              <w:bottom w:val="single" w:sz="4" w:space="0" w:color="auto"/>
              <w:right w:val="single" w:sz="4" w:space="0" w:color="auto"/>
            </w:tcBorders>
            <w:vAlign w:val="center"/>
          </w:tcPr>
          <w:p w:rsidR="001F24C9" w:rsidRPr="00875469" w:rsidRDefault="00850EB7" w:rsidP="00850EB7">
            <w:pPr>
              <w:ind w:left="-70"/>
              <w:jc w:val="center"/>
            </w:pPr>
            <w:r>
              <w:t>4.1.</w:t>
            </w:r>
          </w:p>
        </w:tc>
        <w:tc>
          <w:tcPr>
            <w:tcW w:w="2835" w:type="dxa"/>
            <w:tcBorders>
              <w:top w:val="single" w:sz="4" w:space="0" w:color="auto"/>
              <w:left w:val="single" w:sz="4" w:space="0" w:color="auto"/>
              <w:bottom w:val="single" w:sz="4" w:space="0" w:color="auto"/>
              <w:right w:val="single" w:sz="4" w:space="0" w:color="auto"/>
            </w:tcBorders>
            <w:vAlign w:val="center"/>
          </w:tcPr>
          <w:p w:rsidR="001F24C9" w:rsidRPr="000B7876" w:rsidRDefault="001F24C9" w:rsidP="00320906">
            <w:pPr>
              <w:spacing w:line="-220" w:lineRule="auto"/>
            </w:pPr>
            <w:r w:rsidRPr="000B7876">
              <w:t xml:space="preserve">Предоставление Выписки о состоянии </w:t>
            </w:r>
            <w:r w:rsidR="003464C9" w:rsidRPr="003464C9">
              <w:t xml:space="preserve">Счета Депо Депонента </w:t>
            </w:r>
            <w:r w:rsidRPr="000B7876">
              <w:t>на конец месяца</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1F24C9" w:rsidRPr="00875469" w:rsidRDefault="001F24C9" w:rsidP="001F24C9">
            <w:pPr>
              <w:jc w:val="center"/>
            </w:pPr>
            <w:r>
              <w:t>не взимается</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3464C9" w:rsidP="003464C9"/>
        </w:tc>
      </w:tr>
      <w:tr w:rsidR="0012487E"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8E287F" w:rsidRPr="00875469" w:rsidRDefault="00850EB7" w:rsidP="000B2AF4">
            <w:pPr>
              <w:ind w:left="-70"/>
              <w:jc w:val="center"/>
            </w:pPr>
            <w:r>
              <w:t>4.</w:t>
            </w:r>
            <w:r w:rsidR="008E287F" w:rsidRPr="00875469">
              <w:t>2</w:t>
            </w:r>
            <w:r>
              <w:t>.</w:t>
            </w:r>
          </w:p>
        </w:tc>
        <w:tc>
          <w:tcPr>
            <w:tcW w:w="2835" w:type="dxa"/>
            <w:tcBorders>
              <w:top w:val="single" w:sz="4" w:space="0" w:color="auto"/>
              <w:left w:val="single" w:sz="4" w:space="0" w:color="auto"/>
              <w:bottom w:val="single" w:sz="4" w:space="0" w:color="auto"/>
              <w:right w:val="single" w:sz="4" w:space="0" w:color="auto"/>
            </w:tcBorders>
            <w:vAlign w:val="center"/>
          </w:tcPr>
          <w:p w:rsidR="008E287F" w:rsidRPr="000B7876" w:rsidRDefault="008E287F" w:rsidP="00320906">
            <w:pPr>
              <w:spacing w:line="-220" w:lineRule="auto"/>
            </w:pPr>
            <w:r w:rsidRPr="000B7876">
              <w:t xml:space="preserve">Предоставление Выписки о состоянии </w:t>
            </w:r>
            <w:r w:rsidR="003464C9" w:rsidRPr="003464C9">
              <w:t xml:space="preserve">Счета Депо Депонента </w:t>
            </w:r>
            <w:r w:rsidRPr="000B7876">
              <w:t>по его требованию</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8E287F" w:rsidRPr="00875469" w:rsidRDefault="00E3439F" w:rsidP="001F24C9">
            <w:pPr>
              <w:jc w:val="center"/>
            </w:pPr>
            <w:r>
              <w:t>7</w:t>
            </w:r>
            <w:r w:rsidR="008E287F" w:rsidRPr="00875469" w:rsidDel="005166A7">
              <w:t>0</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E287F" w:rsidRPr="00875469" w:rsidRDefault="008E287F" w:rsidP="001F24C9">
            <w:pPr>
              <w:jc w:val="center"/>
            </w:pPr>
            <w:r w:rsidRPr="00875469" w:rsidDel="005166A7">
              <w:t>2</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BC12A1" w:rsidP="003464C9">
            <w:r>
              <w:t>за операцию</w:t>
            </w:r>
          </w:p>
        </w:tc>
      </w:tr>
      <w:tr w:rsidR="001F24C9" w:rsidRPr="00875469" w:rsidTr="00F00306">
        <w:tc>
          <w:tcPr>
            <w:tcW w:w="563" w:type="dxa"/>
            <w:tcBorders>
              <w:top w:val="single" w:sz="4" w:space="0" w:color="auto"/>
              <w:left w:val="single" w:sz="4" w:space="0" w:color="auto"/>
              <w:bottom w:val="single" w:sz="4" w:space="0" w:color="auto"/>
              <w:right w:val="single" w:sz="4" w:space="0" w:color="auto"/>
            </w:tcBorders>
            <w:vAlign w:val="center"/>
          </w:tcPr>
          <w:p w:rsidR="001F24C9" w:rsidRPr="00875469" w:rsidRDefault="00850EB7" w:rsidP="000B2AF4">
            <w:pPr>
              <w:ind w:left="-70"/>
              <w:jc w:val="center"/>
            </w:pPr>
            <w:r>
              <w:t>4.</w:t>
            </w:r>
            <w:r w:rsidR="001F24C9" w:rsidRPr="00875469">
              <w:t>3</w:t>
            </w:r>
            <w:r>
              <w:t>.</w:t>
            </w:r>
          </w:p>
        </w:tc>
        <w:tc>
          <w:tcPr>
            <w:tcW w:w="2835" w:type="dxa"/>
            <w:tcBorders>
              <w:top w:val="single" w:sz="4" w:space="0" w:color="auto"/>
              <w:left w:val="single" w:sz="4" w:space="0" w:color="auto"/>
              <w:bottom w:val="single" w:sz="4" w:space="0" w:color="auto"/>
              <w:right w:val="single" w:sz="4" w:space="0" w:color="auto"/>
            </w:tcBorders>
            <w:vAlign w:val="center"/>
          </w:tcPr>
          <w:p w:rsidR="001F24C9" w:rsidRPr="000B7876" w:rsidRDefault="001F24C9" w:rsidP="00BC12A1">
            <w:pPr>
              <w:spacing w:line="-220" w:lineRule="auto"/>
            </w:pPr>
            <w:r w:rsidRPr="000B7876">
              <w:t xml:space="preserve">Предоставление Отчета о совершенных на конкретную дату операциях по </w:t>
            </w:r>
            <w:r w:rsidR="003464C9" w:rsidRPr="003464C9">
              <w:t>Счету Депо Депонента</w:t>
            </w: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1F24C9" w:rsidRPr="00875469" w:rsidRDefault="001F24C9" w:rsidP="001F24C9">
            <w:pPr>
              <w:jc w:val="center"/>
            </w:pPr>
            <w:r>
              <w:t>не взимается</w:t>
            </w:r>
          </w:p>
        </w:tc>
        <w:tc>
          <w:tcPr>
            <w:tcW w:w="1418" w:type="dxa"/>
            <w:tcBorders>
              <w:top w:val="single" w:sz="4" w:space="0" w:color="auto"/>
              <w:left w:val="single" w:sz="4" w:space="0" w:color="auto"/>
              <w:bottom w:val="single" w:sz="4" w:space="0" w:color="auto"/>
              <w:right w:val="single" w:sz="4" w:space="0" w:color="auto"/>
            </w:tcBorders>
            <w:vAlign w:val="center"/>
          </w:tcPr>
          <w:p w:rsidR="003464C9" w:rsidRDefault="003464C9" w:rsidP="003464C9"/>
        </w:tc>
      </w:tr>
    </w:tbl>
    <w:p w:rsidR="003464C9" w:rsidRPr="00E7285C" w:rsidRDefault="00E9344E" w:rsidP="003464C9">
      <w:pPr>
        <w:spacing w:before="120"/>
        <w:ind w:left="-426"/>
        <w:jc w:val="center"/>
        <w:rPr>
          <w:rFonts w:ascii="Times New Roman CYR" w:hAnsi="Times New Roman CYR"/>
          <w:b/>
          <w:color w:val="782C2A"/>
        </w:rPr>
      </w:pPr>
      <w:proofErr w:type="gramStart"/>
      <w:r w:rsidRPr="00E7285C">
        <w:rPr>
          <w:rFonts w:ascii="Times New Roman CYR" w:hAnsi="Times New Roman CYR"/>
          <w:b/>
          <w:color w:val="782C2A"/>
        </w:rPr>
        <w:t>Общие положения и примечания</w:t>
      </w:r>
      <w:r w:rsidRPr="00E7285C">
        <w:rPr>
          <w:rFonts w:ascii="Times New Roman CYR" w:hAnsi="Times New Roman CYR"/>
          <w:b/>
          <w:color w:val="782C2A"/>
        </w:rPr>
        <w:br/>
        <w:t xml:space="preserve">к Тарифам депозитарного обслуживания </w:t>
      </w:r>
      <w:r w:rsidR="00525AAA" w:rsidRPr="00E7285C">
        <w:rPr>
          <w:rFonts w:ascii="Times New Roman CYR" w:hAnsi="Times New Roman CYR"/>
          <w:b/>
          <w:color w:val="782C2A"/>
        </w:rPr>
        <w:t>депонентов</w:t>
      </w:r>
      <w:r w:rsidR="003464C9" w:rsidRPr="00E7285C">
        <w:rPr>
          <w:rFonts w:ascii="Times New Roman CYR" w:hAnsi="Times New Roman CYR"/>
          <w:b/>
          <w:color w:val="782C2A"/>
        </w:rPr>
        <w:t xml:space="preserve"> АКБ «Держава» </w:t>
      </w:r>
      <w:r w:rsidR="00EA59B7">
        <w:rPr>
          <w:rFonts w:ascii="Times New Roman CYR" w:hAnsi="Times New Roman CYR"/>
          <w:b/>
          <w:color w:val="782C2A"/>
        </w:rPr>
        <w:t>П</w:t>
      </w:r>
      <w:r w:rsidR="003464C9" w:rsidRPr="00E7285C">
        <w:rPr>
          <w:rFonts w:ascii="Times New Roman CYR" w:hAnsi="Times New Roman CYR"/>
          <w:b/>
          <w:color w:val="782C2A"/>
        </w:rPr>
        <w:t>АО – юридических и физических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roofErr w:type="gramEnd"/>
    </w:p>
    <w:p w:rsidR="003464C9" w:rsidRPr="003464C9" w:rsidRDefault="00102A2D" w:rsidP="003464C9">
      <w:pPr>
        <w:tabs>
          <w:tab w:val="left" w:pos="284"/>
        </w:tabs>
        <w:spacing w:before="120"/>
        <w:ind w:left="-426"/>
        <w:jc w:val="both"/>
      </w:pPr>
      <w:proofErr w:type="gramStart"/>
      <w:r w:rsidRPr="00480EBA">
        <w:t xml:space="preserve">Банк </w:t>
      </w:r>
      <w:r w:rsidR="003464C9" w:rsidRPr="003464C9">
        <w:t>вправе изменять</w:t>
      </w:r>
      <w:r w:rsidR="00925433">
        <w:t xml:space="preserve"> настоящие</w:t>
      </w:r>
      <w:r w:rsidR="003464C9" w:rsidRPr="003464C9">
        <w:t xml:space="preserve"> Тарифы </w:t>
      </w:r>
      <w:r w:rsidR="00925433">
        <w:t>депозитарного обслуживания</w:t>
      </w:r>
      <w:r w:rsidR="003464C9" w:rsidRPr="003464C9">
        <w:t xml:space="preserve">, </w:t>
      </w:r>
      <w:r w:rsidR="00925433">
        <w:t xml:space="preserve">а </w:t>
      </w:r>
      <w:r w:rsidR="003464C9" w:rsidRPr="003464C9">
        <w:t xml:space="preserve">также изменять отдельные условия </w:t>
      </w:r>
      <w:r w:rsidR="00925433">
        <w:t>взимания комиссий за определенные виды операций депозитарного обслуживания</w:t>
      </w:r>
      <w:r w:rsidR="003464C9" w:rsidRPr="003464C9">
        <w:t xml:space="preserve"> в одностороннем порядке</w:t>
      </w:r>
      <w:r w:rsidR="0065095F" w:rsidRPr="0065095F">
        <w:t xml:space="preserve"> </w:t>
      </w:r>
      <w:r w:rsidR="0065095F" w:rsidRPr="00875469">
        <w:t>с предварительным</w:t>
      </w:r>
      <w:r w:rsidR="00F00306">
        <w:t>,</w:t>
      </w:r>
      <w:r w:rsidR="0065095F" w:rsidRPr="00875469">
        <w:t xml:space="preserve"> </w:t>
      </w:r>
      <w:r w:rsidR="0065095F" w:rsidRPr="00875469">
        <w:rPr>
          <w:color w:val="000000"/>
        </w:rPr>
        <w:t>не менее чем за 10 дней</w:t>
      </w:r>
      <w:r w:rsidR="00F00306">
        <w:rPr>
          <w:color w:val="000000"/>
        </w:rPr>
        <w:t>,</w:t>
      </w:r>
      <w:r w:rsidR="0065095F" w:rsidRPr="00875469" w:rsidDel="00E65A3B">
        <w:t xml:space="preserve"> </w:t>
      </w:r>
      <w:r w:rsidR="0065095F" w:rsidRPr="00875469">
        <w:t>уведомлением Депонента</w:t>
      </w:r>
      <w:r w:rsidR="003464C9" w:rsidRPr="003464C9">
        <w:t xml:space="preserve">, устанавливать особый порядок расчетов комиссионного вознаграждения, предусмотренного настоящими Тарифами, в случаях проведения маркетинговых акций и </w:t>
      </w:r>
      <w:r w:rsidR="00925433">
        <w:t xml:space="preserve">отдельных </w:t>
      </w:r>
      <w:r w:rsidR="003464C9" w:rsidRPr="003464C9">
        <w:t xml:space="preserve">договоренностей между </w:t>
      </w:r>
      <w:r w:rsidRPr="00480EBA">
        <w:t>АКБ «Держава» </w:t>
      </w:r>
      <w:r w:rsidR="00EA59B7" w:rsidRPr="00480EBA" w:rsidDel="00EA59B7">
        <w:t xml:space="preserve"> </w:t>
      </w:r>
      <w:r w:rsidR="00EA59B7">
        <w:t>П</w:t>
      </w:r>
      <w:r w:rsidRPr="00480EBA">
        <w:t xml:space="preserve">АО </w:t>
      </w:r>
      <w:r w:rsidR="003464C9" w:rsidRPr="003464C9">
        <w:t>и Клиентом.</w:t>
      </w:r>
      <w:proofErr w:type="gramEnd"/>
    </w:p>
    <w:p w:rsidR="00102A2D" w:rsidRPr="00102A2D" w:rsidRDefault="003464C9" w:rsidP="00755FA8">
      <w:pPr>
        <w:tabs>
          <w:tab w:val="left" w:pos="284"/>
        </w:tabs>
        <w:spacing w:before="20"/>
        <w:ind w:left="-426"/>
        <w:jc w:val="both"/>
      </w:pPr>
      <w:r w:rsidRPr="003464C9">
        <w:t xml:space="preserve">Вопросы установления специальных тарифов решаются в индивидуальном порядке по согласованию с руководством Банка и оформляются соотвествующим Приказом и Дополнительным соглашением к Договору с Клиентом. </w:t>
      </w:r>
    </w:p>
    <w:p w:rsidR="00B925D3" w:rsidRPr="00875469" w:rsidRDefault="003464C9" w:rsidP="00755FA8">
      <w:pPr>
        <w:ind w:left="-426"/>
        <w:jc w:val="both"/>
      </w:pPr>
      <w:r w:rsidRPr="003464C9">
        <w:t xml:space="preserve">Полную информацию о перечне изменений и правилах маркетинговых акций с указанием периодов и условий их действия можно получить в операционном подразделении Банка, а также в сети Интернет на официальном сайте АКБ «Держава» </w:t>
      </w:r>
      <w:r w:rsidR="00EA59B7">
        <w:t>П</w:t>
      </w:r>
      <w:r w:rsidRPr="003464C9">
        <w:t>АО (</w:t>
      </w:r>
      <w:hyperlink r:id="rId8" w:history="1">
        <w:r w:rsidRPr="003464C9">
          <w:t>www.derzhava.ru</w:t>
        </w:r>
      </w:hyperlink>
      <w:r w:rsidRPr="003464C9">
        <w:t>), В таких случаях</w:t>
      </w:r>
      <w:r w:rsidR="00925433">
        <w:t xml:space="preserve"> настоящие</w:t>
      </w:r>
      <w:r w:rsidRPr="003464C9">
        <w:t xml:space="preserve"> Тарифы</w:t>
      </w:r>
      <w:r w:rsidR="00925433">
        <w:t xml:space="preserve"> депозитарного обслуживания</w:t>
      </w:r>
      <w:r w:rsidRPr="003464C9">
        <w:t xml:space="preserve"> действуют вместе с Правилами маркетинговых акций.</w:t>
      </w:r>
    </w:p>
    <w:p w:rsidR="007950D8" w:rsidRDefault="007950D8"/>
    <w:sectPr w:rsidR="007950D8" w:rsidSect="00540588">
      <w:headerReference w:type="default" r:id="rId9"/>
      <w:footerReference w:type="even" r:id="rId10"/>
      <w:footerReference w:type="default" r:id="rId11"/>
      <w:headerReference w:type="first" r:id="rId12"/>
      <w:endnotePr>
        <w:numFmt w:val="decimal"/>
      </w:endnotePr>
      <w:pgSz w:w="11907" w:h="16840" w:code="9"/>
      <w:pgMar w:top="1134" w:right="851" w:bottom="568" w:left="1418"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19" w:rsidRDefault="00197419" w:rsidP="0035091D">
      <w:r>
        <w:separator/>
      </w:r>
    </w:p>
  </w:endnote>
  <w:endnote w:type="continuationSeparator" w:id="0">
    <w:p w:rsidR="00197419" w:rsidRDefault="00197419" w:rsidP="0035091D">
      <w:r>
        <w:continuationSeparator/>
      </w:r>
    </w:p>
  </w:endnote>
  <w:endnote w:id="1">
    <w:p w:rsidR="00197419" w:rsidRDefault="00197419" w:rsidP="00755FA8">
      <w:pPr>
        <w:ind w:left="-284"/>
        <w:jc w:val="both"/>
      </w:pPr>
      <w:r>
        <w:rPr>
          <w:rStyle w:val="af5"/>
        </w:rPr>
        <w:endnoteRef/>
      </w:r>
      <w:r>
        <w:t xml:space="preserve"> </w:t>
      </w:r>
      <w:r w:rsidRPr="00875469">
        <w:t>Порядок оплаты услуг и расходов Депозитария приведён в главе 6</w:t>
      </w:r>
      <w:r>
        <w:t xml:space="preserve"> депозитарного</w:t>
      </w:r>
      <w:r w:rsidRPr="00875469">
        <w:t xml:space="preserve"> Договора и в Разделе </w:t>
      </w:r>
      <w:r>
        <w:t>11</w:t>
      </w:r>
      <w:r w:rsidRPr="00875469">
        <w:t xml:space="preserve"> «Условий осуществления депозитарной деятельности» (Клиентского Регламента).</w:t>
      </w:r>
      <w:r w:rsidRPr="0065095F">
        <w:t xml:space="preserve"> </w:t>
      </w:r>
      <w:r w:rsidRPr="00875469">
        <w:t>Тарифы на услуги Депозитария НДС не облагаются.</w:t>
      </w:r>
    </w:p>
    <w:p w:rsidR="00197419" w:rsidRPr="00875469" w:rsidRDefault="00197419" w:rsidP="00755FA8">
      <w:pPr>
        <w:ind w:left="-284"/>
        <w:jc w:val="both"/>
      </w:pPr>
      <w:r w:rsidRPr="00875469">
        <w:t>Отчетным периодом для расчета комиссионного вознаграждения Депозитария является календарный месяц.</w:t>
      </w:r>
    </w:p>
    <w:p w:rsidR="00197419" w:rsidRPr="00875469" w:rsidRDefault="00197419" w:rsidP="00755FA8">
      <w:pPr>
        <w:ind w:left="-284"/>
        <w:jc w:val="both"/>
      </w:pPr>
      <w:r w:rsidRPr="00875469">
        <w:t>Настоящие Тарифы</w:t>
      </w:r>
      <w:r>
        <w:t xml:space="preserve"> депозитарного обслуживания</w:t>
      </w:r>
      <w:r w:rsidRPr="00875469">
        <w:t xml:space="preserve"> не включают стоимость услуг третьих лиц при осуществлении депозитарного обслуживания</w:t>
      </w:r>
      <w:r>
        <w:t xml:space="preserve">. </w:t>
      </w:r>
      <w:r w:rsidRPr="00875469">
        <w:t>Фактические затраты иных третьих лиц, участие которых необходимо для исполнения поручений Депонента (например, транспортные расходы, расходы на оплату услуг сторонних организаций</w:t>
      </w:r>
      <w:r>
        <w:t xml:space="preserve"> –</w:t>
      </w:r>
      <w:r w:rsidRPr="00875469">
        <w:t xml:space="preserve"> регистраторов и депозитариев, расчетных организаций и трансфер-агентов, агентств по перерегистрации), оплачивается </w:t>
      </w:r>
      <w:r>
        <w:t xml:space="preserve">Депонентом </w:t>
      </w:r>
      <w:r w:rsidRPr="00875469">
        <w:t>дополнительно к</w:t>
      </w:r>
      <w:r>
        <w:t xml:space="preserve"> настоящим</w:t>
      </w:r>
      <w:r w:rsidRPr="00875469">
        <w:t xml:space="preserve"> Тарифам депозитарного обслуживания. </w:t>
      </w:r>
    </w:p>
    <w:p w:rsidR="00197419" w:rsidRDefault="00197419" w:rsidP="003464C9">
      <w:pPr>
        <w:ind w:left="-284"/>
        <w:jc w:val="both"/>
      </w:pPr>
      <w:r w:rsidRPr="00875469">
        <w:t xml:space="preserve">Оказание Депозитарием дополнительных сопутствующих услуг Депоненту </w:t>
      </w:r>
      <w:r>
        <w:t>оформляе</w:t>
      </w:r>
      <w:r w:rsidRPr="00875469">
        <w:t>тся дополнительным</w:t>
      </w:r>
      <w:r>
        <w:t>и соглашения</w:t>
      </w:r>
      <w:r w:rsidRPr="00875469">
        <w:t>м</w:t>
      </w:r>
      <w:r>
        <w:t>и</w:t>
      </w:r>
      <w:r w:rsidRPr="00875469">
        <w:t xml:space="preserve"> к </w:t>
      </w:r>
      <w:r>
        <w:t xml:space="preserve">депозитарному </w:t>
      </w:r>
      <w:r w:rsidRPr="00875469">
        <w:t xml:space="preserve">Договору </w:t>
      </w:r>
      <w:r>
        <w:t>и оплачивае</w:t>
      </w:r>
      <w:r w:rsidRPr="00875469">
        <w:t>тся в соответствии с ним</w:t>
      </w:r>
      <w:r>
        <w:t>и</w:t>
      </w:r>
      <w:r w:rsidRPr="00875469">
        <w:t>.</w:t>
      </w:r>
    </w:p>
  </w:endnote>
  <w:endnote w:id="2">
    <w:p w:rsidR="00197419" w:rsidRDefault="00197419" w:rsidP="003464C9">
      <w:pPr>
        <w:pStyle w:val="af3"/>
        <w:ind w:left="-284"/>
        <w:jc w:val="both"/>
      </w:pPr>
      <w:r w:rsidRPr="0065095F">
        <w:rPr>
          <w:rStyle w:val="af5"/>
        </w:rPr>
        <w:endnoteRef/>
      </w:r>
      <w:r w:rsidRPr="0065095F">
        <w:t xml:space="preserve"> Ставка вознаграждения Банка указана за операции в рамках обслуживания по депозитарному Догов</w:t>
      </w:r>
      <w:r>
        <w:t>о</w:t>
      </w:r>
      <w:r w:rsidRPr="0065095F">
        <w:t xml:space="preserve">ру, заключенному с Клиентом, без заключения Договора комплексного обслуживания. </w:t>
      </w:r>
    </w:p>
  </w:endnote>
  <w:endnote w:id="3">
    <w:p w:rsidR="00197419" w:rsidRDefault="00197419" w:rsidP="003464C9">
      <w:pPr>
        <w:pStyle w:val="af3"/>
        <w:ind w:left="-284"/>
        <w:jc w:val="both"/>
      </w:pPr>
      <w:r w:rsidRPr="0065095F">
        <w:rPr>
          <w:rStyle w:val="af5"/>
        </w:rPr>
        <w:endnoteRef/>
      </w:r>
      <w:r w:rsidRPr="0065095F">
        <w:t xml:space="preserve"> Договор комплексного обслуживания на финансовом рынке.</w:t>
      </w:r>
    </w:p>
  </w:endnote>
  <w:endnote w:id="4">
    <w:p w:rsidR="00197419" w:rsidRDefault="00197419" w:rsidP="003464C9">
      <w:pPr>
        <w:spacing w:line="-220" w:lineRule="auto"/>
        <w:ind w:left="-284"/>
        <w:jc w:val="both"/>
      </w:pPr>
      <w:r w:rsidRPr="0065095F">
        <w:rPr>
          <w:rStyle w:val="af5"/>
        </w:rPr>
        <w:endnoteRef/>
      </w:r>
      <w:r w:rsidRPr="003464C9">
        <w:t xml:space="preserve"> </w:t>
      </w:r>
      <w:r w:rsidRPr="0065095F">
        <w:t>Оплата рассчитывается</w:t>
      </w:r>
      <w:r>
        <w:t xml:space="preserve"> ежемесячно</w:t>
      </w:r>
      <w:r w:rsidRPr="0065095F">
        <w:t xml:space="preserve"> согласно</w:t>
      </w:r>
      <w:r>
        <w:t xml:space="preserve"> настоящим</w:t>
      </w:r>
      <w:r w:rsidRPr="0065095F">
        <w:t xml:space="preserve"> </w:t>
      </w:r>
      <w:r>
        <w:t>Т</w:t>
      </w:r>
      <w:r w:rsidRPr="0065095F">
        <w:t xml:space="preserve">арифам от рыночной стоимости ценных бумаг, </w:t>
      </w:r>
      <w:r w:rsidRPr="00C445A7">
        <w:t>имеющих рыночную котировку, или номинальной стоимости ценных бумаг, не имеющих рыночной котировки, пропорционально количеству дней нахождения ценных бумаг на Счете Депо на дату выставления счета. Под рыночной стоимостью ценных бумаг понимается рыночная цена, рассчитанная в установленном порядке</w:t>
      </w:r>
      <w:r w:rsidRPr="0065095F">
        <w:t xml:space="preserve"> организатором торговли на рынке ценных бумаг.</w:t>
      </w:r>
      <w:r w:rsidRPr="00755FA8">
        <w:t xml:space="preserve"> </w:t>
      </w:r>
      <w:r>
        <w:t>При расчете платы за хранение ценных бумаг, номинальная стоимость которых выражена в иностранной валюте, стоимость для ее расчета определяется путем перевода валюты расчетной стоимости ценных бумаг в рубли по курсу ЦБ на последний день расчетного месяца.</w:t>
      </w:r>
    </w:p>
  </w:endnote>
  <w:endnote w:id="5">
    <w:p w:rsidR="00197419" w:rsidRDefault="00197419" w:rsidP="003464C9">
      <w:pPr>
        <w:pStyle w:val="af3"/>
        <w:ind w:left="-284"/>
        <w:jc w:val="both"/>
      </w:pPr>
      <w:r>
        <w:rPr>
          <w:rStyle w:val="af5"/>
        </w:rPr>
        <w:endnoteRef/>
      </w:r>
      <w:r>
        <w:t xml:space="preserve"> </w:t>
      </w:r>
      <w:r w:rsidRPr="00C36FCC">
        <w:t>При приеме ценных бумаг на хранение и учет производится</w:t>
      </w:r>
      <w:r>
        <w:t xml:space="preserve"> обязательная</w:t>
      </w:r>
      <w:r w:rsidRPr="00C36FCC">
        <w:t xml:space="preserve"> экспертиза принимаемых ценных бумаг</w:t>
      </w:r>
      <w:r>
        <w:t xml:space="preserve">. </w:t>
      </w:r>
    </w:p>
  </w:endnote>
  <w:endnote w:id="6">
    <w:p w:rsidR="00197419" w:rsidRPr="0033647F" w:rsidRDefault="00197419" w:rsidP="000A2907">
      <w:pPr>
        <w:spacing w:line="-220" w:lineRule="auto"/>
        <w:ind w:left="-284"/>
        <w:jc w:val="both"/>
      </w:pPr>
      <w:r>
        <w:rPr>
          <w:rStyle w:val="af5"/>
        </w:rPr>
        <w:endnoteRef/>
      </w:r>
      <w:r>
        <w:t xml:space="preserve"> </w:t>
      </w:r>
      <w:r w:rsidRPr="0065095F">
        <w:t>Оплата рассчитывается</w:t>
      </w:r>
      <w:r>
        <w:t xml:space="preserve"> ежемесячно</w:t>
      </w:r>
      <w:r w:rsidRPr="0065095F">
        <w:t xml:space="preserve"> согласно</w:t>
      </w:r>
      <w:r>
        <w:t xml:space="preserve"> настоящим</w:t>
      </w:r>
      <w:r w:rsidRPr="0065095F">
        <w:t xml:space="preserve"> </w:t>
      </w:r>
      <w:r>
        <w:t>Т</w:t>
      </w:r>
      <w:r w:rsidRPr="0065095F">
        <w:t xml:space="preserve">арифам от номинальной стоимости ценных бумаг, </w:t>
      </w:r>
      <w:r w:rsidRPr="00BB33CE">
        <w:t>независимо от времени хранения в течение оплачиваемого месяца</w:t>
      </w:r>
      <w:r>
        <w:t>.</w:t>
      </w:r>
      <w:r w:rsidRPr="00755FA8">
        <w:t xml:space="preserve"> </w:t>
      </w:r>
      <w:r>
        <w:t>Для расчета комиссии по закладным в качестве номинальной стоимости используется первоначальная сумма обязательства, обеспеченного ипотекой. При расчете платы за хранение ценных бумаг, номинальная стоимость которых выражена в иностранной валюте, стоимость для ее расчета определяется путем перевода валюты расчетной стоимости ценных бумаг в рубли по курсу ЦБ на последний день расчетного месяца.</w:t>
      </w: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Pr="0033647F" w:rsidRDefault="00197419">
      <w:pPr>
        <w:pStyle w:val="af3"/>
      </w:pPr>
    </w:p>
    <w:p w:rsidR="00197419" w:rsidRDefault="00197419" w:rsidP="002C4922">
      <w:pPr>
        <w:rPr>
          <w:rFonts w:asciiTheme="minorHAnsi" w:hAnsiTheme="minorHAnsi"/>
        </w:rPr>
      </w:pPr>
    </w:p>
    <w:p w:rsidR="00197419" w:rsidRPr="00755AA4" w:rsidRDefault="00197419">
      <w:pPr>
        <w:pStyle w:val="af3"/>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9" w:rsidRDefault="00616081">
    <w:pPr>
      <w:pStyle w:val="a3"/>
      <w:framePr w:wrap="around" w:vAnchor="text" w:hAnchor="margin" w:xAlign="right" w:y="1"/>
      <w:rPr>
        <w:rStyle w:val="a5"/>
      </w:rPr>
    </w:pPr>
    <w:r>
      <w:rPr>
        <w:rStyle w:val="a5"/>
      </w:rPr>
      <w:fldChar w:fldCharType="begin"/>
    </w:r>
    <w:r w:rsidR="00197419">
      <w:rPr>
        <w:rStyle w:val="a5"/>
      </w:rPr>
      <w:instrText xml:space="preserve">PAGE  </w:instrText>
    </w:r>
    <w:r>
      <w:rPr>
        <w:rStyle w:val="a5"/>
      </w:rPr>
      <w:fldChar w:fldCharType="separate"/>
    </w:r>
    <w:r w:rsidR="00197419">
      <w:rPr>
        <w:rStyle w:val="a5"/>
        <w:noProof/>
      </w:rPr>
      <w:t>1</w:t>
    </w:r>
    <w:r>
      <w:rPr>
        <w:rStyle w:val="a5"/>
      </w:rPr>
      <w:fldChar w:fldCharType="end"/>
    </w:r>
  </w:p>
  <w:p w:rsidR="00197419" w:rsidRDefault="0019741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27" w:type="pct"/>
      <w:tblCellMar>
        <w:top w:w="72" w:type="dxa"/>
        <w:left w:w="115" w:type="dxa"/>
        <w:bottom w:w="72" w:type="dxa"/>
        <w:right w:w="115" w:type="dxa"/>
      </w:tblCellMar>
      <w:tblLook w:val="04A0"/>
    </w:tblPr>
    <w:tblGrid>
      <w:gridCol w:w="9918"/>
      <w:gridCol w:w="398"/>
    </w:tblGrid>
    <w:tr w:rsidR="00197419" w:rsidTr="009E569F">
      <w:trPr>
        <w:trHeight w:val="412"/>
      </w:trPr>
      <w:tc>
        <w:tcPr>
          <w:tcW w:w="4807" w:type="pct"/>
          <w:tcBorders>
            <w:top w:val="single" w:sz="4" w:space="0" w:color="000000" w:themeColor="text1"/>
          </w:tcBorders>
        </w:tcPr>
        <w:p w:rsidR="00197419" w:rsidRPr="00744F30" w:rsidRDefault="00197419" w:rsidP="00EA59B7">
          <w:pPr>
            <w:pStyle w:val="5"/>
            <w:spacing w:before="0"/>
            <w:jc w:val="right"/>
            <w:rPr>
              <w:b/>
              <w:bCs/>
              <w:noProof/>
              <w:color w:val="auto"/>
              <w:sz w:val="16"/>
              <w:szCs w:val="16"/>
            </w:rPr>
          </w:pPr>
          <w:proofErr w:type="gramStart"/>
          <w:r w:rsidRPr="00744F30">
            <w:rPr>
              <w:bCs/>
              <w:noProof/>
              <w:color w:val="auto"/>
              <w:sz w:val="16"/>
              <w:szCs w:val="16"/>
            </w:rPr>
            <w:t xml:space="preserve">Тарифы депозитарного обслуживания депонентов АКБ «Держава» </w:t>
          </w:r>
          <w:r w:rsidR="00EA59B7">
            <w:rPr>
              <w:bCs/>
              <w:noProof/>
              <w:color w:val="auto"/>
              <w:sz w:val="16"/>
              <w:szCs w:val="16"/>
            </w:rPr>
            <w:t>П</w:t>
          </w:r>
          <w:r w:rsidRPr="00744F30">
            <w:rPr>
              <w:bCs/>
              <w:noProof/>
              <w:color w:val="auto"/>
              <w:sz w:val="16"/>
              <w:szCs w:val="16"/>
            </w:rPr>
            <w:t>АО – юридических и физических лиц,</w:t>
          </w:r>
          <w:r w:rsidRPr="00744F30">
            <w:rPr>
              <w:bCs/>
              <w:noProof/>
              <w:color w:val="auto"/>
              <w:sz w:val="16"/>
              <w:szCs w:val="16"/>
            </w:rPr>
            <w:br/>
            <w:t>индивидуальных предпринимателей и физических лиц, занимающихся в установленном</w:t>
          </w:r>
          <w:r w:rsidRPr="00744F30">
            <w:rPr>
              <w:bCs/>
              <w:noProof/>
              <w:color w:val="auto"/>
              <w:sz w:val="16"/>
              <w:szCs w:val="16"/>
            </w:rPr>
            <w:br/>
            <w:t>законодательством Российской Федерации порядке частной практикой</w:t>
          </w:r>
          <w:proofErr w:type="gramEnd"/>
        </w:p>
      </w:tc>
      <w:tc>
        <w:tcPr>
          <w:tcW w:w="193" w:type="pct"/>
          <w:tcBorders>
            <w:top w:val="single" w:sz="4" w:space="0" w:color="C0504D" w:themeColor="accent2"/>
          </w:tcBorders>
          <w:shd w:val="clear" w:color="auto" w:fill="82302E"/>
          <w:vAlign w:val="center"/>
        </w:tcPr>
        <w:p w:rsidR="00197419" w:rsidRPr="00CA786F" w:rsidRDefault="00616081" w:rsidP="009E569F">
          <w:pPr>
            <w:pStyle w:val="af"/>
            <w:jc w:val="center"/>
            <w:rPr>
              <w:b/>
              <w:color w:val="FFFFFF" w:themeColor="background1"/>
              <w:sz w:val="28"/>
              <w:szCs w:val="28"/>
            </w:rPr>
          </w:pPr>
          <w:r w:rsidRPr="00CA786F">
            <w:rPr>
              <w:b/>
              <w:sz w:val="28"/>
              <w:szCs w:val="28"/>
            </w:rPr>
            <w:fldChar w:fldCharType="begin"/>
          </w:r>
          <w:r w:rsidR="00197419" w:rsidRPr="00CA786F">
            <w:rPr>
              <w:b/>
              <w:sz w:val="28"/>
              <w:szCs w:val="28"/>
            </w:rPr>
            <w:instrText xml:space="preserve"> PAGE   \* MERGEFORMAT </w:instrText>
          </w:r>
          <w:r w:rsidRPr="00CA786F">
            <w:rPr>
              <w:b/>
              <w:sz w:val="28"/>
              <w:szCs w:val="28"/>
            </w:rPr>
            <w:fldChar w:fldCharType="separate"/>
          </w:r>
          <w:r w:rsidR="00667F0C" w:rsidRPr="00667F0C">
            <w:rPr>
              <w:b/>
              <w:noProof/>
              <w:color w:val="FFFFFF" w:themeColor="background1"/>
              <w:sz w:val="28"/>
              <w:szCs w:val="28"/>
            </w:rPr>
            <w:t>4</w:t>
          </w:r>
          <w:r w:rsidRPr="00CA786F">
            <w:rPr>
              <w:b/>
              <w:sz w:val="28"/>
              <w:szCs w:val="28"/>
            </w:rPr>
            <w:fldChar w:fldCharType="end"/>
          </w:r>
        </w:p>
      </w:tc>
    </w:tr>
  </w:tbl>
  <w:p w:rsidR="00197419" w:rsidRDefault="0019741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19" w:rsidRDefault="00197419" w:rsidP="0035091D">
      <w:r>
        <w:separator/>
      </w:r>
    </w:p>
  </w:footnote>
  <w:footnote w:type="continuationSeparator" w:id="0">
    <w:p w:rsidR="00197419" w:rsidRDefault="00197419" w:rsidP="00350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9" w:rsidRDefault="00197419" w:rsidP="00875469">
    <w:pPr>
      <w:widowControl w:val="0"/>
      <w:spacing w:line="280" w:lineRule="exact"/>
    </w:pPr>
    <w:r>
      <w:rPr>
        <w:noProof/>
      </w:rPr>
      <w:drawing>
        <wp:anchor distT="0" distB="0" distL="114300" distR="114300" simplePos="0" relativeHeight="251663360" behindDoc="0" locked="0" layoutInCell="1" allowOverlap="1">
          <wp:simplePos x="0" y="0"/>
          <wp:positionH relativeFrom="margin">
            <wp:posOffset>4357370</wp:posOffset>
          </wp:positionH>
          <wp:positionV relativeFrom="margin">
            <wp:posOffset>-462915</wp:posOffset>
          </wp:positionV>
          <wp:extent cx="1838325" cy="390525"/>
          <wp:effectExtent l="19050" t="0" r="9525" b="0"/>
          <wp:wrapSquare wrapText="bothSides"/>
          <wp:docPr id="2" name="Рисунок 2" descr="лого Бан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Банка.gif"/>
                  <pic:cNvPicPr>
                    <a:picLocks noChangeAspect="1" noChangeArrowheads="1"/>
                  </pic:cNvPicPr>
                </pic:nvPicPr>
                <pic:blipFill>
                  <a:blip r:embed="rId1"/>
                  <a:srcRect/>
                  <a:stretch>
                    <a:fillRect/>
                  </a:stretch>
                </pic:blipFill>
                <pic:spPr bwMode="auto">
                  <a:xfrm>
                    <a:off x="0" y="0"/>
                    <a:ext cx="1838325" cy="39052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margin">
            <wp:posOffset>-309880</wp:posOffset>
          </wp:positionH>
          <wp:positionV relativeFrom="margin">
            <wp:posOffset>-1315720</wp:posOffset>
          </wp:positionV>
          <wp:extent cx="2493010" cy="523875"/>
          <wp:effectExtent l="19050" t="0" r="2540" b="0"/>
          <wp:wrapSquare wrapText="bothSides"/>
          <wp:docPr id="1" name="Рисунок 1" descr="лого Бан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Банка.gif"/>
                  <pic:cNvPicPr>
                    <a:picLocks noChangeAspect="1" noChangeArrowheads="1"/>
                  </pic:cNvPicPr>
                </pic:nvPicPr>
                <pic:blipFill>
                  <a:blip r:embed="rId1"/>
                  <a:srcRect/>
                  <a:stretch>
                    <a:fillRect/>
                  </a:stretch>
                </pic:blipFill>
                <pic:spPr bwMode="auto">
                  <a:xfrm>
                    <a:off x="0" y="0"/>
                    <a:ext cx="2493010" cy="523875"/>
                  </a:xfrm>
                  <a:prstGeom prst="rect">
                    <a:avLst/>
                  </a:prstGeom>
                  <a:noFill/>
                  <a:ln w="9525">
                    <a:noFill/>
                    <a:miter lim="800000"/>
                    <a:headEnd/>
                    <a:tailEnd/>
                  </a:ln>
                </pic:spPr>
              </pic:pic>
            </a:graphicData>
          </a:graphic>
        </wp:anchor>
      </w:drawing>
    </w:r>
  </w:p>
  <w:p w:rsidR="00197419" w:rsidRDefault="0019741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9" w:rsidRPr="004671BF" w:rsidRDefault="00197419" w:rsidP="00875469">
    <w:pPr>
      <w:widowControl w:val="0"/>
      <w:spacing w:line="280" w:lineRule="exact"/>
      <w:ind w:left="920"/>
      <w:jc w:val="right"/>
      <w:rPr>
        <w:snapToGrid w:val="0"/>
      </w:rPr>
    </w:pPr>
    <w:r>
      <w:rPr>
        <w:noProof/>
      </w:rPr>
      <w:drawing>
        <wp:anchor distT="0" distB="0" distL="114300" distR="114300" simplePos="0" relativeHeight="251662336" behindDoc="0" locked="0" layoutInCell="1" allowOverlap="1">
          <wp:simplePos x="0" y="0"/>
          <wp:positionH relativeFrom="margin">
            <wp:posOffset>-262255</wp:posOffset>
          </wp:positionH>
          <wp:positionV relativeFrom="margin">
            <wp:posOffset>-1217295</wp:posOffset>
          </wp:positionV>
          <wp:extent cx="2493010" cy="523875"/>
          <wp:effectExtent l="19050" t="0" r="2540" b="0"/>
          <wp:wrapSquare wrapText="bothSides"/>
          <wp:docPr id="7" name="Рисунок 1" descr="лого Бан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Банка.gif"/>
                  <pic:cNvPicPr>
                    <a:picLocks noChangeAspect="1" noChangeArrowheads="1"/>
                  </pic:cNvPicPr>
                </pic:nvPicPr>
                <pic:blipFill>
                  <a:blip r:embed="rId1"/>
                  <a:srcRect/>
                  <a:stretch>
                    <a:fillRect/>
                  </a:stretch>
                </pic:blipFill>
                <pic:spPr bwMode="auto">
                  <a:xfrm>
                    <a:off x="0" y="0"/>
                    <a:ext cx="2493010" cy="523875"/>
                  </a:xfrm>
                  <a:prstGeom prst="rect">
                    <a:avLst/>
                  </a:prstGeom>
                  <a:noFill/>
                  <a:ln w="9525">
                    <a:noFill/>
                    <a:miter lim="800000"/>
                    <a:headEnd/>
                    <a:tailEnd/>
                  </a:ln>
                </pic:spPr>
              </pic:pic>
            </a:graphicData>
          </a:graphic>
        </wp:anchor>
      </w:drawing>
    </w:r>
    <w:r w:rsidRPr="004671BF">
      <w:t>«Утверждено»</w:t>
    </w:r>
  </w:p>
  <w:p w:rsidR="00197419" w:rsidRPr="004671BF" w:rsidRDefault="00197419" w:rsidP="00875469">
    <w:pPr>
      <w:pStyle w:val="af1"/>
      <w:ind w:firstLine="720"/>
      <w:jc w:val="right"/>
      <w:rPr>
        <w:rFonts w:ascii="Times New Roman" w:hAnsi="Times New Roman"/>
        <w:b w:val="0"/>
        <w:sz w:val="20"/>
      </w:rPr>
    </w:pPr>
    <w:r w:rsidRPr="004671BF">
      <w:rPr>
        <w:rFonts w:ascii="Times New Roman" w:hAnsi="Times New Roman"/>
        <w:b w:val="0"/>
        <w:sz w:val="20"/>
      </w:rPr>
      <w:t xml:space="preserve">Правлением АКБ «Держава» </w:t>
    </w:r>
    <w:r>
      <w:rPr>
        <w:rFonts w:ascii="Times New Roman" w:hAnsi="Times New Roman"/>
        <w:b w:val="0"/>
        <w:sz w:val="20"/>
      </w:rPr>
      <w:t>П</w:t>
    </w:r>
    <w:r w:rsidRPr="004671BF">
      <w:rPr>
        <w:rFonts w:ascii="Times New Roman" w:hAnsi="Times New Roman"/>
        <w:b w:val="0"/>
        <w:sz w:val="20"/>
      </w:rPr>
      <w:t>АО</w:t>
    </w:r>
  </w:p>
  <w:p w:rsidR="00197419" w:rsidRDefault="00197419" w:rsidP="00875469">
    <w:pPr>
      <w:pStyle w:val="af1"/>
      <w:jc w:val="right"/>
      <w:rPr>
        <w:rFonts w:ascii="Times New Roman" w:hAnsi="Times New Roman"/>
        <w:b w:val="0"/>
        <w:sz w:val="20"/>
      </w:rPr>
    </w:pPr>
    <w:proofErr w:type="gramStart"/>
    <w:r w:rsidRPr="004671BF">
      <w:rPr>
        <w:rFonts w:ascii="Times New Roman" w:hAnsi="Times New Roman"/>
        <w:b w:val="0"/>
        <w:sz w:val="20"/>
      </w:rPr>
      <w:t>Протокол б</w:t>
    </w:r>
    <w:proofErr w:type="gramEnd"/>
    <w:r w:rsidRPr="004671BF">
      <w:rPr>
        <w:rFonts w:ascii="Times New Roman" w:hAnsi="Times New Roman"/>
        <w:b w:val="0"/>
        <w:sz w:val="20"/>
      </w:rPr>
      <w:t>/</w:t>
    </w:r>
    <w:proofErr w:type="spellStart"/>
    <w:r w:rsidRPr="004671BF">
      <w:rPr>
        <w:rFonts w:ascii="Times New Roman" w:hAnsi="Times New Roman"/>
        <w:b w:val="0"/>
        <w:sz w:val="20"/>
      </w:rPr>
      <w:t>н</w:t>
    </w:r>
    <w:proofErr w:type="spellEnd"/>
    <w:r w:rsidRPr="004671BF">
      <w:rPr>
        <w:rFonts w:ascii="Times New Roman" w:hAnsi="Times New Roman"/>
        <w:b w:val="0"/>
        <w:sz w:val="20"/>
      </w:rPr>
      <w:t xml:space="preserve"> от «</w:t>
    </w:r>
    <w:r>
      <w:rPr>
        <w:rFonts w:ascii="Times New Roman" w:hAnsi="Times New Roman"/>
        <w:b w:val="0"/>
        <w:sz w:val="20"/>
      </w:rPr>
      <w:t>21</w:t>
    </w:r>
    <w:r w:rsidRPr="004671BF">
      <w:rPr>
        <w:rFonts w:ascii="Times New Roman" w:hAnsi="Times New Roman"/>
        <w:b w:val="0"/>
        <w:sz w:val="20"/>
      </w:rPr>
      <w:t xml:space="preserve">» </w:t>
    </w:r>
    <w:r>
      <w:rPr>
        <w:rFonts w:ascii="Times New Roman" w:hAnsi="Times New Roman"/>
        <w:b w:val="0"/>
        <w:sz w:val="20"/>
      </w:rPr>
      <w:t>октября</w:t>
    </w:r>
    <w:r w:rsidRPr="004671BF">
      <w:rPr>
        <w:rFonts w:ascii="Times New Roman" w:hAnsi="Times New Roman"/>
        <w:b w:val="0"/>
        <w:sz w:val="20"/>
      </w:rPr>
      <w:t xml:space="preserve"> 201</w:t>
    </w:r>
    <w:r>
      <w:rPr>
        <w:rFonts w:ascii="Times New Roman" w:hAnsi="Times New Roman"/>
        <w:b w:val="0"/>
        <w:sz w:val="20"/>
      </w:rPr>
      <w:t>5</w:t>
    </w:r>
    <w:r w:rsidRPr="004671BF">
      <w:rPr>
        <w:rFonts w:ascii="Times New Roman" w:hAnsi="Times New Roman"/>
        <w:b w:val="0"/>
        <w:sz w:val="20"/>
      </w:rPr>
      <w:t xml:space="preserve"> г.</w:t>
    </w:r>
  </w:p>
  <w:p w:rsidR="00197419" w:rsidRPr="004671BF" w:rsidRDefault="00197419" w:rsidP="00875469">
    <w:pPr>
      <w:pStyle w:val="af1"/>
      <w:jc w:val="right"/>
      <w:rPr>
        <w:rFonts w:ascii="Times New Roman" w:hAnsi="Times New Roman"/>
        <w:b w:val="0"/>
        <w:sz w:val="20"/>
      </w:rPr>
    </w:pPr>
  </w:p>
  <w:p w:rsidR="00197419" w:rsidRDefault="00197419" w:rsidP="00875469">
    <w:pPr>
      <w:pStyle w:val="af1"/>
      <w:ind w:firstLine="720"/>
      <w:jc w:val="right"/>
      <w:rPr>
        <w:rFonts w:ascii="Times New Roman" w:hAnsi="Times New Roman"/>
        <w:b w:val="0"/>
        <w:sz w:val="20"/>
      </w:rPr>
    </w:pPr>
    <w:r w:rsidRPr="004671BF">
      <w:rPr>
        <w:rFonts w:ascii="Times New Roman" w:hAnsi="Times New Roman"/>
        <w:b w:val="0"/>
        <w:sz w:val="20"/>
      </w:rPr>
      <w:t>Председатель Правления</w:t>
    </w:r>
  </w:p>
  <w:p w:rsidR="00197419" w:rsidRDefault="00197419" w:rsidP="00875469">
    <w:pPr>
      <w:pStyle w:val="af1"/>
      <w:ind w:firstLine="720"/>
      <w:jc w:val="right"/>
      <w:rPr>
        <w:rFonts w:ascii="Times New Roman" w:hAnsi="Times New Roman"/>
        <w:b w:val="0"/>
        <w:sz w:val="20"/>
      </w:rPr>
    </w:pPr>
  </w:p>
  <w:p w:rsidR="00197419" w:rsidRPr="008F5AC6" w:rsidRDefault="00197419" w:rsidP="00875469">
    <w:pPr>
      <w:shd w:val="clear" w:color="auto" w:fill="FFFFFF"/>
      <w:ind w:left="-426"/>
      <w:jc w:val="right"/>
      <w:outlineLvl w:val="0"/>
      <w:rPr>
        <w:b/>
      </w:rPr>
    </w:pPr>
    <w:r w:rsidRPr="004671BF">
      <w:t>_______________ С.Б. Биран</w:t>
    </w:r>
  </w:p>
  <w:p w:rsidR="00197419" w:rsidRDefault="0019741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54367"/>
    <w:multiLevelType w:val="hybridMultilevel"/>
    <w:tmpl w:val="E556C7B8"/>
    <w:lvl w:ilvl="0" w:tplc="68A4EA3E">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76EA3E65"/>
    <w:multiLevelType w:val="hybridMultilevel"/>
    <w:tmpl w:val="E556C7B8"/>
    <w:lvl w:ilvl="0" w:tplc="68A4EA3E">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00"/>
  <w:displayHorizontalDrawingGridEvery w:val="2"/>
  <w:characterSpacingControl w:val="doNotCompress"/>
  <w:hdrShapeDefaults>
    <o:shapedefaults v:ext="edit" spidmax="51201"/>
  </w:hdrShapeDefaults>
  <w:footnotePr>
    <w:footnote w:id="-1"/>
    <w:footnote w:id="0"/>
  </w:footnotePr>
  <w:endnotePr>
    <w:numFmt w:val="decimal"/>
    <w:endnote w:id="-1"/>
    <w:endnote w:id="0"/>
  </w:endnotePr>
  <w:compat/>
  <w:rsids>
    <w:rsidRoot w:val="008478A0"/>
    <w:rsid w:val="000019C6"/>
    <w:rsid w:val="00002EFE"/>
    <w:rsid w:val="000053FD"/>
    <w:rsid w:val="0001518A"/>
    <w:rsid w:val="00021FCA"/>
    <w:rsid w:val="0002644F"/>
    <w:rsid w:val="000321C1"/>
    <w:rsid w:val="00032D70"/>
    <w:rsid w:val="0003552C"/>
    <w:rsid w:val="00035C0A"/>
    <w:rsid w:val="00036F3B"/>
    <w:rsid w:val="00045F61"/>
    <w:rsid w:val="000476FF"/>
    <w:rsid w:val="00053B26"/>
    <w:rsid w:val="000548CB"/>
    <w:rsid w:val="00055E38"/>
    <w:rsid w:val="00070AE2"/>
    <w:rsid w:val="000724AC"/>
    <w:rsid w:val="00074F4B"/>
    <w:rsid w:val="000941FD"/>
    <w:rsid w:val="000A045B"/>
    <w:rsid w:val="000A27EF"/>
    <w:rsid w:val="000A2907"/>
    <w:rsid w:val="000A478B"/>
    <w:rsid w:val="000A64ED"/>
    <w:rsid w:val="000A7A9A"/>
    <w:rsid w:val="000B2AF4"/>
    <w:rsid w:val="000B5ACA"/>
    <w:rsid w:val="000B7876"/>
    <w:rsid w:val="000C7E84"/>
    <w:rsid w:val="000D0617"/>
    <w:rsid w:val="000D6634"/>
    <w:rsid w:val="000E449E"/>
    <w:rsid w:val="000E4C62"/>
    <w:rsid w:val="000F0B13"/>
    <w:rsid w:val="000F167A"/>
    <w:rsid w:val="0010034E"/>
    <w:rsid w:val="00100A38"/>
    <w:rsid w:val="00102A2D"/>
    <w:rsid w:val="001108D2"/>
    <w:rsid w:val="0012090E"/>
    <w:rsid w:val="0012487E"/>
    <w:rsid w:val="00135CD8"/>
    <w:rsid w:val="00140EF6"/>
    <w:rsid w:val="001429FB"/>
    <w:rsid w:val="00143DF9"/>
    <w:rsid w:val="001443E1"/>
    <w:rsid w:val="001456BE"/>
    <w:rsid w:val="0015253B"/>
    <w:rsid w:val="00154798"/>
    <w:rsid w:val="00171C68"/>
    <w:rsid w:val="00197419"/>
    <w:rsid w:val="001C1746"/>
    <w:rsid w:val="001C69EE"/>
    <w:rsid w:val="001D1167"/>
    <w:rsid w:val="001E08CD"/>
    <w:rsid w:val="001E1079"/>
    <w:rsid w:val="001E2403"/>
    <w:rsid w:val="001E31CF"/>
    <w:rsid w:val="001F1857"/>
    <w:rsid w:val="001F24C9"/>
    <w:rsid w:val="001F5B1B"/>
    <w:rsid w:val="00201182"/>
    <w:rsid w:val="00202629"/>
    <w:rsid w:val="0020311B"/>
    <w:rsid w:val="0020507F"/>
    <w:rsid w:val="00210266"/>
    <w:rsid w:val="00213E33"/>
    <w:rsid w:val="00215E1A"/>
    <w:rsid w:val="00217B1B"/>
    <w:rsid w:val="002202DE"/>
    <w:rsid w:val="00220D3A"/>
    <w:rsid w:val="00226185"/>
    <w:rsid w:val="00227AB1"/>
    <w:rsid w:val="00232094"/>
    <w:rsid w:val="0023695D"/>
    <w:rsid w:val="00241A95"/>
    <w:rsid w:val="00243357"/>
    <w:rsid w:val="00250DEF"/>
    <w:rsid w:val="00251E36"/>
    <w:rsid w:val="0027484D"/>
    <w:rsid w:val="00275883"/>
    <w:rsid w:val="00276942"/>
    <w:rsid w:val="0027783E"/>
    <w:rsid w:val="00282508"/>
    <w:rsid w:val="00286ACE"/>
    <w:rsid w:val="00290C99"/>
    <w:rsid w:val="0029730A"/>
    <w:rsid w:val="002A2559"/>
    <w:rsid w:val="002A431C"/>
    <w:rsid w:val="002B6345"/>
    <w:rsid w:val="002B76B8"/>
    <w:rsid w:val="002C2160"/>
    <w:rsid w:val="002C4922"/>
    <w:rsid w:val="002D24CC"/>
    <w:rsid w:val="002E037E"/>
    <w:rsid w:val="002E3504"/>
    <w:rsid w:val="002F35D2"/>
    <w:rsid w:val="002F483B"/>
    <w:rsid w:val="002F5524"/>
    <w:rsid w:val="003103A5"/>
    <w:rsid w:val="00317F94"/>
    <w:rsid w:val="00320906"/>
    <w:rsid w:val="00330384"/>
    <w:rsid w:val="0033647F"/>
    <w:rsid w:val="00341694"/>
    <w:rsid w:val="003464C9"/>
    <w:rsid w:val="003464E1"/>
    <w:rsid w:val="0035091D"/>
    <w:rsid w:val="00356117"/>
    <w:rsid w:val="00365807"/>
    <w:rsid w:val="00373CF4"/>
    <w:rsid w:val="00375016"/>
    <w:rsid w:val="003760FA"/>
    <w:rsid w:val="00376F0A"/>
    <w:rsid w:val="00383597"/>
    <w:rsid w:val="0038798C"/>
    <w:rsid w:val="00396CD7"/>
    <w:rsid w:val="003A2456"/>
    <w:rsid w:val="003A3F03"/>
    <w:rsid w:val="003B106A"/>
    <w:rsid w:val="003B456C"/>
    <w:rsid w:val="003B5B82"/>
    <w:rsid w:val="003C0124"/>
    <w:rsid w:val="003E48D7"/>
    <w:rsid w:val="003E55B4"/>
    <w:rsid w:val="003E7498"/>
    <w:rsid w:val="003F7905"/>
    <w:rsid w:val="004027AB"/>
    <w:rsid w:val="00403B9C"/>
    <w:rsid w:val="004057A2"/>
    <w:rsid w:val="00405DD8"/>
    <w:rsid w:val="004121EA"/>
    <w:rsid w:val="00415291"/>
    <w:rsid w:val="004206D5"/>
    <w:rsid w:val="0042679C"/>
    <w:rsid w:val="00427733"/>
    <w:rsid w:val="00434E49"/>
    <w:rsid w:val="0043535A"/>
    <w:rsid w:val="00437212"/>
    <w:rsid w:val="0044250B"/>
    <w:rsid w:val="004516DF"/>
    <w:rsid w:val="00457596"/>
    <w:rsid w:val="00466B13"/>
    <w:rsid w:val="0047042E"/>
    <w:rsid w:val="004707A0"/>
    <w:rsid w:val="00470E73"/>
    <w:rsid w:val="00474715"/>
    <w:rsid w:val="0047754C"/>
    <w:rsid w:val="004848FF"/>
    <w:rsid w:val="00486871"/>
    <w:rsid w:val="004876E9"/>
    <w:rsid w:val="00490C8B"/>
    <w:rsid w:val="00493517"/>
    <w:rsid w:val="004A1297"/>
    <w:rsid w:val="004A1CF5"/>
    <w:rsid w:val="004A1D4D"/>
    <w:rsid w:val="004C2283"/>
    <w:rsid w:val="004D01E7"/>
    <w:rsid w:val="004E4C28"/>
    <w:rsid w:val="004F6C05"/>
    <w:rsid w:val="004F7420"/>
    <w:rsid w:val="0050175C"/>
    <w:rsid w:val="005061BB"/>
    <w:rsid w:val="005133FB"/>
    <w:rsid w:val="005166A7"/>
    <w:rsid w:val="00522367"/>
    <w:rsid w:val="00524761"/>
    <w:rsid w:val="00525AAA"/>
    <w:rsid w:val="00540588"/>
    <w:rsid w:val="0054796D"/>
    <w:rsid w:val="00550D8F"/>
    <w:rsid w:val="005517CE"/>
    <w:rsid w:val="0056327C"/>
    <w:rsid w:val="005637E1"/>
    <w:rsid w:val="005639A5"/>
    <w:rsid w:val="00566CBD"/>
    <w:rsid w:val="005706C6"/>
    <w:rsid w:val="00581F20"/>
    <w:rsid w:val="00582690"/>
    <w:rsid w:val="00584EDD"/>
    <w:rsid w:val="00585914"/>
    <w:rsid w:val="005B087B"/>
    <w:rsid w:val="005B1709"/>
    <w:rsid w:val="005C5CBD"/>
    <w:rsid w:val="005D3886"/>
    <w:rsid w:val="005D3D58"/>
    <w:rsid w:val="005D6EEF"/>
    <w:rsid w:val="005E1469"/>
    <w:rsid w:val="005F4FC2"/>
    <w:rsid w:val="005F6C52"/>
    <w:rsid w:val="006032BB"/>
    <w:rsid w:val="00603846"/>
    <w:rsid w:val="006071C8"/>
    <w:rsid w:val="00610BCA"/>
    <w:rsid w:val="00614C1C"/>
    <w:rsid w:val="00616081"/>
    <w:rsid w:val="006309BA"/>
    <w:rsid w:val="00633DAE"/>
    <w:rsid w:val="00636DF4"/>
    <w:rsid w:val="0063770D"/>
    <w:rsid w:val="00642185"/>
    <w:rsid w:val="00646914"/>
    <w:rsid w:val="0065095F"/>
    <w:rsid w:val="00652018"/>
    <w:rsid w:val="00662D55"/>
    <w:rsid w:val="0066631D"/>
    <w:rsid w:val="00667F0C"/>
    <w:rsid w:val="00670667"/>
    <w:rsid w:val="00685F42"/>
    <w:rsid w:val="00697999"/>
    <w:rsid w:val="006B2480"/>
    <w:rsid w:val="006B68CC"/>
    <w:rsid w:val="006B7D26"/>
    <w:rsid w:val="006C6FCD"/>
    <w:rsid w:val="006E132C"/>
    <w:rsid w:val="006E21D8"/>
    <w:rsid w:val="006F0FF6"/>
    <w:rsid w:val="006F1E71"/>
    <w:rsid w:val="006F3F1A"/>
    <w:rsid w:val="006F54C3"/>
    <w:rsid w:val="006F57E8"/>
    <w:rsid w:val="007006FB"/>
    <w:rsid w:val="007034DC"/>
    <w:rsid w:val="007132FE"/>
    <w:rsid w:val="007220B5"/>
    <w:rsid w:val="00726C7A"/>
    <w:rsid w:val="00727645"/>
    <w:rsid w:val="00735025"/>
    <w:rsid w:val="00737BFB"/>
    <w:rsid w:val="00740387"/>
    <w:rsid w:val="00741883"/>
    <w:rsid w:val="0074399A"/>
    <w:rsid w:val="00744F30"/>
    <w:rsid w:val="00747161"/>
    <w:rsid w:val="007508E8"/>
    <w:rsid w:val="00755859"/>
    <w:rsid w:val="00755AA4"/>
    <w:rsid w:val="00755FA8"/>
    <w:rsid w:val="007569EE"/>
    <w:rsid w:val="00762938"/>
    <w:rsid w:val="007630BF"/>
    <w:rsid w:val="007656CB"/>
    <w:rsid w:val="00775180"/>
    <w:rsid w:val="007765B6"/>
    <w:rsid w:val="00784F75"/>
    <w:rsid w:val="00790E9B"/>
    <w:rsid w:val="007950D8"/>
    <w:rsid w:val="007A09F5"/>
    <w:rsid w:val="007A25F0"/>
    <w:rsid w:val="007A2C59"/>
    <w:rsid w:val="007A6BDB"/>
    <w:rsid w:val="007C001D"/>
    <w:rsid w:val="007C25EB"/>
    <w:rsid w:val="007C7928"/>
    <w:rsid w:val="007D27A3"/>
    <w:rsid w:val="007E32E5"/>
    <w:rsid w:val="007E37D6"/>
    <w:rsid w:val="007F09BD"/>
    <w:rsid w:val="007F3FB8"/>
    <w:rsid w:val="007F7727"/>
    <w:rsid w:val="008001CC"/>
    <w:rsid w:val="00812F9E"/>
    <w:rsid w:val="00813D85"/>
    <w:rsid w:val="008177D8"/>
    <w:rsid w:val="00822ED6"/>
    <w:rsid w:val="008249E1"/>
    <w:rsid w:val="008426B2"/>
    <w:rsid w:val="00843146"/>
    <w:rsid w:val="008478A0"/>
    <w:rsid w:val="00850EB7"/>
    <w:rsid w:val="00854F7A"/>
    <w:rsid w:val="00857ABA"/>
    <w:rsid w:val="008619EA"/>
    <w:rsid w:val="008620D0"/>
    <w:rsid w:val="008679CD"/>
    <w:rsid w:val="00872416"/>
    <w:rsid w:val="00875469"/>
    <w:rsid w:val="00883046"/>
    <w:rsid w:val="00885152"/>
    <w:rsid w:val="008A123F"/>
    <w:rsid w:val="008A7C22"/>
    <w:rsid w:val="008B29E4"/>
    <w:rsid w:val="008C3AFF"/>
    <w:rsid w:val="008D3FF9"/>
    <w:rsid w:val="008D74A8"/>
    <w:rsid w:val="008D7843"/>
    <w:rsid w:val="008E287F"/>
    <w:rsid w:val="008E6E47"/>
    <w:rsid w:val="008F647B"/>
    <w:rsid w:val="00901B3B"/>
    <w:rsid w:val="009044C2"/>
    <w:rsid w:val="00905C5E"/>
    <w:rsid w:val="00915C1E"/>
    <w:rsid w:val="00925433"/>
    <w:rsid w:val="00926E0D"/>
    <w:rsid w:val="009334BA"/>
    <w:rsid w:val="00934950"/>
    <w:rsid w:val="0093599A"/>
    <w:rsid w:val="0093775D"/>
    <w:rsid w:val="00942278"/>
    <w:rsid w:val="009469A1"/>
    <w:rsid w:val="00961B57"/>
    <w:rsid w:val="00962409"/>
    <w:rsid w:val="00962B3B"/>
    <w:rsid w:val="00966B55"/>
    <w:rsid w:val="00967738"/>
    <w:rsid w:val="009719A1"/>
    <w:rsid w:val="009738B5"/>
    <w:rsid w:val="00980380"/>
    <w:rsid w:val="0098211A"/>
    <w:rsid w:val="009862A2"/>
    <w:rsid w:val="009905A6"/>
    <w:rsid w:val="009A5930"/>
    <w:rsid w:val="009B29D5"/>
    <w:rsid w:val="009B570F"/>
    <w:rsid w:val="009C14D0"/>
    <w:rsid w:val="009C4E22"/>
    <w:rsid w:val="009D36C5"/>
    <w:rsid w:val="009E569F"/>
    <w:rsid w:val="009F12E2"/>
    <w:rsid w:val="009F3920"/>
    <w:rsid w:val="00A16C6E"/>
    <w:rsid w:val="00A35119"/>
    <w:rsid w:val="00A40F92"/>
    <w:rsid w:val="00A44C7E"/>
    <w:rsid w:val="00A50F9A"/>
    <w:rsid w:val="00A5288E"/>
    <w:rsid w:val="00A5777A"/>
    <w:rsid w:val="00A6484A"/>
    <w:rsid w:val="00A6582C"/>
    <w:rsid w:val="00A66E7F"/>
    <w:rsid w:val="00A71D2E"/>
    <w:rsid w:val="00A748DD"/>
    <w:rsid w:val="00A85FA6"/>
    <w:rsid w:val="00A87D85"/>
    <w:rsid w:val="00A94571"/>
    <w:rsid w:val="00A9460E"/>
    <w:rsid w:val="00A95B04"/>
    <w:rsid w:val="00A97EB8"/>
    <w:rsid w:val="00AA4136"/>
    <w:rsid w:val="00AA4935"/>
    <w:rsid w:val="00AA4EE6"/>
    <w:rsid w:val="00AA5D4A"/>
    <w:rsid w:val="00AB5E0C"/>
    <w:rsid w:val="00AC274E"/>
    <w:rsid w:val="00AE1F9E"/>
    <w:rsid w:val="00AF2CF8"/>
    <w:rsid w:val="00AF4747"/>
    <w:rsid w:val="00AF4C18"/>
    <w:rsid w:val="00B00622"/>
    <w:rsid w:val="00B04365"/>
    <w:rsid w:val="00B0570E"/>
    <w:rsid w:val="00B0623B"/>
    <w:rsid w:val="00B07C85"/>
    <w:rsid w:val="00B17214"/>
    <w:rsid w:val="00B24E24"/>
    <w:rsid w:val="00B41258"/>
    <w:rsid w:val="00B42887"/>
    <w:rsid w:val="00B43E23"/>
    <w:rsid w:val="00B46173"/>
    <w:rsid w:val="00B53EE8"/>
    <w:rsid w:val="00B541F6"/>
    <w:rsid w:val="00B628B5"/>
    <w:rsid w:val="00B62D13"/>
    <w:rsid w:val="00B67D15"/>
    <w:rsid w:val="00B7027A"/>
    <w:rsid w:val="00B77105"/>
    <w:rsid w:val="00B83FAA"/>
    <w:rsid w:val="00B925D3"/>
    <w:rsid w:val="00B94BB4"/>
    <w:rsid w:val="00BB10E3"/>
    <w:rsid w:val="00BB33CE"/>
    <w:rsid w:val="00BC12A1"/>
    <w:rsid w:val="00BC5B55"/>
    <w:rsid w:val="00BC6C81"/>
    <w:rsid w:val="00BC7195"/>
    <w:rsid w:val="00BD5A18"/>
    <w:rsid w:val="00BE0C35"/>
    <w:rsid w:val="00BE248A"/>
    <w:rsid w:val="00BE402C"/>
    <w:rsid w:val="00BE5B52"/>
    <w:rsid w:val="00BF00A8"/>
    <w:rsid w:val="00C023FA"/>
    <w:rsid w:val="00C061B9"/>
    <w:rsid w:val="00C07E1E"/>
    <w:rsid w:val="00C102BD"/>
    <w:rsid w:val="00C15EA8"/>
    <w:rsid w:val="00C172E5"/>
    <w:rsid w:val="00C30F79"/>
    <w:rsid w:val="00C3234F"/>
    <w:rsid w:val="00C32461"/>
    <w:rsid w:val="00C36FCC"/>
    <w:rsid w:val="00C445A7"/>
    <w:rsid w:val="00C47133"/>
    <w:rsid w:val="00C52100"/>
    <w:rsid w:val="00C5789A"/>
    <w:rsid w:val="00C60C9C"/>
    <w:rsid w:val="00C764C6"/>
    <w:rsid w:val="00C766F5"/>
    <w:rsid w:val="00C77512"/>
    <w:rsid w:val="00C87E63"/>
    <w:rsid w:val="00C925C3"/>
    <w:rsid w:val="00C93AB0"/>
    <w:rsid w:val="00C95357"/>
    <w:rsid w:val="00C971C0"/>
    <w:rsid w:val="00CA0D68"/>
    <w:rsid w:val="00CA0DEE"/>
    <w:rsid w:val="00CA4198"/>
    <w:rsid w:val="00CB1E9B"/>
    <w:rsid w:val="00CB5A33"/>
    <w:rsid w:val="00CC3D2F"/>
    <w:rsid w:val="00CC52D8"/>
    <w:rsid w:val="00CD47EC"/>
    <w:rsid w:val="00CE7D6A"/>
    <w:rsid w:val="00CF0BB8"/>
    <w:rsid w:val="00CF3734"/>
    <w:rsid w:val="00D022F2"/>
    <w:rsid w:val="00D048E2"/>
    <w:rsid w:val="00D117C0"/>
    <w:rsid w:val="00D45337"/>
    <w:rsid w:val="00D453AB"/>
    <w:rsid w:val="00D47136"/>
    <w:rsid w:val="00D4752E"/>
    <w:rsid w:val="00D51BBD"/>
    <w:rsid w:val="00D62649"/>
    <w:rsid w:val="00D82221"/>
    <w:rsid w:val="00D8540E"/>
    <w:rsid w:val="00D87C10"/>
    <w:rsid w:val="00D962AA"/>
    <w:rsid w:val="00D96954"/>
    <w:rsid w:val="00DA5217"/>
    <w:rsid w:val="00DB5396"/>
    <w:rsid w:val="00DC0B7B"/>
    <w:rsid w:val="00DC68F7"/>
    <w:rsid w:val="00DD07FB"/>
    <w:rsid w:val="00DD1D03"/>
    <w:rsid w:val="00DE1CB0"/>
    <w:rsid w:val="00DE7E51"/>
    <w:rsid w:val="00DF5307"/>
    <w:rsid w:val="00DF6DCD"/>
    <w:rsid w:val="00E059E5"/>
    <w:rsid w:val="00E11581"/>
    <w:rsid w:val="00E11E8A"/>
    <w:rsid w:val="00E159AF"/>
    <w:rsid w:val="00E2454C"/>
    <w:rsid w:val="00E24CD3"/>
    <w:rsid w:val="00E260F4"/>
    <w:rsid w:val="00E26CCE"/>
    <w:rsid w:val="00E2709B"/>
    <w:rsid w:val="00E3439F"/>
    <w:rsid w:val="00E371B5"/>
    <w:rsid w:val="00E4783D"/>
    <w:rsid w:val="00E51592"/>
    <w:rsid w:val="00E51725"/>
    <w:rsid w:val="00E54B6F"/>
    <w:rsid w:val="00E6029D"/>
    <w:rsid w:val="00E65A3B"/>
    <w:rsid w:val="00E7285C"/>
    <w:rsid w:val="00E80CDB"/>
    <w:rsid w:val="00E84AD2"/>
    <w:rsid w:val="00E90A74"/>
    <w:rsid w:val="00E9344E"/>
    <w:rsid w:val="00E940EA"/>
    <w:rsid w:val="00E9688A"/>
    <w:rsid w:val="00EA5058"/>
    <w:rsid w:val="00EA59B7"/>
    <w:rsid w:val="00EB0536"/>
    <w:rsid w:val="00EB4B29"/>
    <w:rsid w:val="00EB6BFF"/>
    <w:rsid w:val="00EB7FE1"/>
    <w:rsid w:val="00EC7262"/>
    <w:rsid w:val="00ED053B"/>
    <w:rsid w:val="00ED6160"/>
    <w:rsid w:val="00ED654A"/>
    <w:rsid w:val="00ED658D"/>
    <w:rsid w:val="00EE4838"/>
    <w:rsid w:val="00EE5487"/>
    <w:rsid w:val="00EE7685"/>
    <w:rsid w:val="00EF1710"/>
    <w:rsid w:val="00F00306"/>
    <w:rsid w:val="00F04417"/>
    <w:rsid w:val="00F12E17"/>
    <w:rsid w:val="00F14986"/>
    <w:rsid w:val="00F25618"/>
    <w:rsid w:val="00F25806"/>
    <w:rsid w:val="00F26D6D"/>
    <w:rsid w:val="00F27250"/>
    <w:rsid w:val="00F33FC8"/>
    <w:rsid w:val="00F42CEC"/>
    <w:rsid w:val="00F54464"/>
    <w:rsid w:val="00F556A1"/>
    <w:rsid w:val="00F56927"/>
    <w:rsid w:val="00F627F7"/>
    <w:rsid w:val="00F65C34"/>
    <w:rsid w:val="00F669BE"/>
    <w:rsid w:val="00F727D1"/>
    <w:rsid w:val="00F8641D"/>
    <w:rsid w:val="00F94696"/>
    <w:rsid w:val="00F9632C"/>
    <w:rsid w:val="00FA488D"/>
    <w:rsid w:val="00FB19F2"/>
    <w:rsid w:val="00FC50EB"/>
    <w:rsid w:val="00FD3505"/>
    <w:rsid w:val="00FD356C"/>
    <w:rsid w:val="00FD459F"/>
    <w:rsid w:val="00FE5A14"/>
    <w:rsid w:val="00FF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78A0"/>
    <w:pPr>
      <w:keepNext/>
      <w:widowControl w:val="0"/>
      <w:spacing w:before="120" w:line="-120" w:lineRule="auto"/>
      <w:ind w:firstLine="567"/>
      <w:jc w:val="center"/>
      <w:outlineLvl w:val="0"/>
    </w:pPr>
    <w:rPr>
      <w:rFonts w:ascii="Times New Roman CYR" w:hAnsi="Times New Roman CYR"/>
      <w:b/>
      <w:sz w:val="24"/>
    </w:rPr>
  </w:style>
  <w:style w:type="paragraph" w:styleId="5">
    <w:name w:val="heading 5"/>
    <w:basedOn w:val="a"/>
    <w:next w:val="a"/>
    <w:link w:val="50"/>
    <w:unhideWhenUsed/>
    <w:qFormat/>
    <w:rsid w:val="00102A2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8A0"/>
    <w:rPr>
      <w:rFonts w:ascii="Times New Roman CYR" w:eastAsia="Times New Roman" w:hAnsi="Times New Roman CYR" w:cs="Times New Roman"/>
      <w:b/>
      <w:sz w:val="24"/>
      <w:szCs w:val="20"/>
      <w:lang w:eastAsia="ru-RU"/>
    </w:rPr>
  </w:style>
  <w:style w:type="paragraph" w:styleId="a3">
    <w:name w:val="footer"/>
    <w:basedOn w:val="a"/>
    <w:link w:val="a4"/>
    <w:rsid w:val="008478A0"/>
    <w:pPr>
      <w:tabs>
        <w:tab w:val="center" w:pos="4153"/>
        <w:tab w:val="right" w:pos="8306"/>
      </w:tabs>
    </w:pPr>
    <w:rPr>
      <w:snapToGrid w:val="0"/>
    </w:rPr>
  </w:style>
  <w:style w:type="character" w:customStyle="1" w:styleId="a4">
    <w:name w:val="Нижний колонтитул Знак"/>
    <w:basedOn w:val="a0"/>
    <w:link w:val="a3"/>
    <w:rsid w:val="008478A0"/>
    <w:rPr>
      <w:rFonts w:ascii="Times New Roman" w:eastAsia="Times New Roman" w:hAnsi="Times New Roman" w:cs="Times New Roman"/>
      <w:snapToGrid w:val="0"/>
      <w:sz w:val="20"/>
      <w:szCs w:val="20"/>
      <w:lang w:eastAsia="ru-RU"/>
    </w:rPr>
  </w:style>
  <w:style w:type="character" w:styleId="a5">
    <w:name w:val="page number"/>
    <w:basedOn w:val="a0"/>
    <w:rsid w:val="008478A0"/>
  </w:style>
  <w:style w:type="paragraph" w:styleId="a6">
    <w:name w:val="Balloon Text"/>
    <w:basedOn w:val="a"/>
    <w:link w:val="a7"/>
    <w:uiPriority w:val="99"/>
    <w:semiHidden/>
    <w:unhideWhenUsed/>
    <w:rsid w:val="00E65A3B"/>
    <w:rPr>
      <w:rFonts w:ascii="Tahoma" w:hAnsi="Tahoma" w:cs="Tahoma"/>
      <w:sz w:val="16"/>
      <w:szCs w:val="16"/>
    </w:rPr>
  </w:style>
  <w:style w:type="character" w:customStyle="1" w:styleId="a7">
    <w:name w:val="Текст выноски Знак"/>
    <w:basedOn w:val="a0"/>
    <w:link w:val="a6"/>
    <w:uiPriority w:val="99"/>
    <w:semiHidden/>
    <w:rsid w:val="00E65A3B"/>
    <w:rPr>
      <w:rFonts w:ascii="Tahoma" w:eastAsia="Times New Roman" w:hAnsi="Tahoma" w:cs="Tahoma"/>
      <w:sz w:val="16"/>
      <w:szCs w:val="16"/>
      <w:lang w:eastAsia="ru-RU"/>
    </w:rPr>
  </w:style>
  <w:style w:type="character" w:styleId="a8">
    <w:name w:val="annotation reference"/>
    <w:basedOn w:val="a0"/>
    <w:uiPriority w:val="99"/>
    <w:semiHidden/>
    <w:unhideWhenUsed/>
    <w:rsid w:val="00DC68F7"/>
    <w:rPr>
      <w:sz w:val="16"/>
      <w:szCs w:val="16"/>
    </w:rPr>
  </w:style>
  <w:style w:type="paragraph" w:styleId="a9">
    <w:name w:val="annotation text"/>
    <w:basedOn w:val="a"/>
    <w:link w:val="aa"/>
    <w:uiPriority w:val="99"/>
    <w:semiHidden/>
    <w:unhideWhenUsed/>
    <w:rsid w:val="00DC68F7"/>
  </w:style>
  <w:style w:type="character" w:customStyle="1" w:styleId="aa">
    <w:name w:val="Текст примечания Знак"/>
    <w:basedOn w:val="a0"/>
    <w:link w:val="a9"/>
    <w:uiPriority w:val="99"/>
    <w:semiHidden/>
    <w:rsid w:val="00DC68F7"/>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DC68F7"/>
    <w:rPr>
      <w:b/>
      <w:bCs/>
    </w:rPr>
  </w:style>
  <w:style w:type="character" w:customStyle="1" w:styleId="ac">
    <w:name w:val="Тема примечания Знак"/>
    <w:basedOn w:val="aa"/>
    <w:link w:val="ab"/>
    <w:uiPriority w:val="99"/>
    <w:semiHidden/>
    <w:rsid w:val="00DC68F7"/>
    <w:rPr>
      <w:b/>
      <w:bCs/>
    </w:rPr>
  </w:style>
  <w:style w:type="paragraph" w:styleId="ad">
    <w:name w:val="List Paragraph"/>
    <w:basedOn w:val="a"/>
    <w:uiPriority w:val="34"/>
    <w:qFormat/>
    <w:rsid w:val="00F42CEC"/>
    <w:pPr>
      <w:ind w:left="720"/>
      <w:contextualSpacing/>
    </w:pPr>
  </w:style>
  <w:style w:type="paragraph" w:styleId="ae">
    <w:name w:val="Revision"/>
    <w:hidden/>
    <w:uiPriority w:val="99"/>
    <w:semiHidden/>
    <w:rsid w:val="00966B55"/>
    <w:pPr>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A71D2E"/>
    <w:pPr>
      <w:tabs>
        <w:tab w:val="center" w:pos="4677"/>
        <w:tab w:val="right" w:pos="9355"/>
      </w:tabs>
    </w:pPr>
  </w:style>
  <w:style w:type="character" w:customStyle="1" w:styleId="af0">
    <w:name w:val="Верхний колонтитул Знак"/>
    <w:basedOn w:val="a0"/>
    <w:link w:val="af"/>
    <w:uiPriority w:val="99"/>
    <w:rsid w:val="00A71D2E"/>
    <w:rPr>
      <w:rFonts w:ascii="Times New Roman" w:eastAsia="Times New Roman" w:hAnsi="Times New Roman" w:cs="Times New Roman"/>
      <w:sz w:val="20"/>
      <w:szCs w:val="20"/>
      <w:lang w:eastAsia="ru-RU"/>
    </w:rPr>
  </w:style>
  <w:style w:type="paragraph" w:styleId="af1">
    <w:name w:val="Title"/>
    <w:basedOn w:val="a"/>
    <w:link w:val="af2"/>
    <w:uiPriority w:val="10"/>
    <w:qFormat/>
    <w:rsid w:val="00A71D2E"/>
    <w:pPr>
      <w:ind w:left="-993"/>
      <w:jc w:val="center"/>
    </w:pPr>
    <w:rPr>
      <w:rFonts w:ascii="Arial" w:hAnsi="Arial"/>
      <w:b/>
      <w:snapToGrid w:val="0"/>
      <w:color w:val="000000"/>
      <w:sz w:val="18"/>
    </w:rPr>
  </w:style>
  <w:style w:type="character" w:customStyle="1" w:styleId="af2">
    <w:name w:val="Название Знак"/>
    <w:basedOn w:val="a0"/>
    <w:link w:val="af1"/>
    <w:uiPriority w:val="10"/>
    <w:rsid w:val="00A71D2E"/>
    <w:rPr>
      <w:rFonts w:ascii="Arial" w:eastAsia="Times New Roman" w:hAnsi="Arial" w:cs="Times New Roman"/>
      <w:b/>
      <w:snapToGrid w:val="0"/>
      <w:color w:val="000000"/>
      <w:sz w:val="18"/>
      <w:szCs w:val="20"/>
      <w:lang w:eastAsia="ru-RU"/>
    </w:rPr>
  </w:style>
  <w:style w:type="paragraph" w:styleId="af3">
    <w:name w:val="endnote text"/>
    <w:basedOn w:val="a"/>
    <w:link w:val="af4"/>
    <w:uiPriority w:val="99"/>
    <w:unhideWhenUsed/>
    <w:rsid w:val="00045F61"/>
  </w:style>
  <w:style w:type="character" w:customStyle="1" w:styleId="af4">
    <w:name w:val="Текст концевой сноски Знак"/>
    <w:basedOn w:val="a0"/>
    <w:link w:val="af3"/>
    <w:uiPriority w:val="99"/>
    <w:rsid w:val="00045F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045F61"/>
    <w:rPr>
      <w:vertAlign w:val="superscript"/>
    </w:rPr>
  </w:style>
  <w:style w:type="character" w:customStyle="1" w:styleId="50">
    <w:name w:val="Заголовок 5 Знак"/>
    <w:basedOn w:val="a0"/>
    <w:link w:val="5"/>
    <w:rsid w:val="00102A2D"/>
    <w:rPr>
      <w:rFonts w:asciiTheme="majorHAnsi" w:eastAsiaTheme="majorEastAsia" w:hAnsiTheme="majorHAnsi" w:cstheme="majorBidi"/>
      <w:color w:val="243F60" w:themeColor="accent1" w:themeShade="7F"/>
      <w:sz w:val="20"/>
      <w:szCs w:val="20"/>
      <w:lang w:eastAsia="ru-RU"/>
    </w:rPr>
  </w:style>
  <w:style w:type="character" w:styleId="af6">
    <w:name w:val="Hyperlink"/>
    <w:basedOn w:val="a0"/>
    <w:uiPriority w:val="99"/>
    <w:rsid w:val="00102A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3778745">
      <w:bodyDiv w:val="1"/>
      <w:marLeft w:val="0"/>
      <w:marRight w:val="0"/>
      <w:marTop w:val="0"/>
      <w:marBottom w:val="0"/>
      <w:divBdr>
        <w:top w:val="none" w:sz="0" w:space="0" w:color="auto"/>
        <w:left w:val="none" w:sz="0" w:space="0" w:color="auto"/>
        <w:bottom w:val="none" w:sz="0" w:space="0" w:color="auto"/>
        <w:right w:val="none" w:sz="0" w:space="0" w:color="auto"/>
      </w:divBdr>
    </w:div>
    <w:div w:id="770054195">
      <w:bodyDiv w:val="1"/>
      <w:marLeft w:val="0"/>
      <w:marRight w:val="0"/>
      <w:marTop w:val="0"/>
      <w:marBottom w:val="0"/>
      <w:divBdr>
        <w:top w:val="none" w:sz="0" w:space="0" w:color="auto"/>
        <w:left w:val="none" w:sz="0" w:space="0" w:color="auto"/>
        <w:bottom w:val="none" w:sz="0" w:space="0" w:color="auto"/>
        <w:right w:val="none" w:sz="0" w:space="0" w:color="auto"/>
      </w:divBdr>
      <w:divsChild>
        <w:div w:id="430589710">
          <w:marLeft w:val="0"/>
          <w:marRight w:val="0"/>
          <w:marTop w:val="0"/>
          <w:marBottom w:val="0"/>
          <w:divBdr>
            <w:top w:val="none" w:sz="0" w:space="0" w:color="auto"/>
            <w:left w:val="none" w:sz="0" w:space="0" w:color="auto"/>
            <w:bottom w:val="none" w:sz="0" w:space="0" w:color="auto"/>
            <w:right w:val="none" w:sz="0" w:space="0" w:color="auto"/>
          </w:divBdr>
        </w:div>
        <w:div w:id="2066566161">
          <w:marLeft w:val="0"/>
          <w:marRight w:val="0"/>
          <w:marTop w:val="0"/>
          <w:marBottom w:val="0"/>
          <w:divBdr>
            <w:top w:val="none" w:sz="0" w:space="0" w:color="auto"/>
            <w:left w:val="none" w:sz="0" w:space="0" w:color="auto"/>
            <w:bottom w:val="none" w:sz="0" w:space="0" w:color="auto"/>
            <w:right w:val="none" w:sz="0" w:space="0" w:color="auto"/>
          </w:divBdr>
        </w:div>
        <w:div w:id="1033070163">
          <w:marLeft w:val="0"/>
          <w:marRight w:val="0"/>
          <w:marTop w:val="0"/>
          <w:marBottom w:val="0"/>
          <w:divBdr>
            <w:top w:val="none" w:sz="0" w:space="0" w:color="auto"/>
            <w:left w:val="none" w:sz="0" w:space="0" w:color="auto"/>
            <w:bottom w:val="none" w:sz="0" w:space="0" w:color="auto"/>
            <w:right w:val="none" w:sz="0" w:space="0" w:color="auto"/>
          </w:divBdr>
        </w:div>
        <w:div w:id="853419261">
          <w:marLeft w:val="0"/>
          <w:marRight w:val="0"/>
          <w:marTop w:val="0"/>
          <w:marBottom w:val="0"/>
          <w:divBdr>
            <w:top w:val="none" w:sz="0" w:space="0" w:color="auto"/>
            <w:left w:val="none" w:sz="0" w:space="0" w:color="auto"/>
            <w:bottom w:val="none" w:sz="0" w:space="0" w:color="auto"/>
            <w:right w:val="none" w:sz="0" w:space="0" w:color="auto"/>
          </w:divBdr>
        </w:div>
        <w:div w:id="480465349">
          <w:marLeft w:val="0"/>
          <w:marRight w:val="0"/>
          <w:marTop w:val="0"/>
          <w:marBottom w:val="0"/>
          <w:divBdr>
            <w:top w:val="none" w:sz="0" w:space="0" w:color="auto"/>
            <w:left w:val="none" w:sz="0" w:space="0" w:color="auto"/>
            <w:bottom w:val="none" w:sz="0" w:space="0" w:color="auto"/>
            <w:right w:val="none" w:sz="0" w:space="0" w:color="auto"/>
          </w:divBdr>
        </w:div>
        <w:div w:id="469053543">
          <w:marLeft w:val="0"/>
          <w:marRight w:val="0"/>
          <w:marTop w:val="0"/>
          <w:marBottom w:val="0"/>
          <w:divBdr>
            <w:top w:val="none" w:sz="0" w:space="0" w:color="auto"/>
            <w:left w:val="none" w:sz="0" w:space="0" w:color="auto"/>
            <w:bottom w:val="none" w:sz="0" w:space="0" w:color="auto"/>
            <w:right w:val="none" w:sz="0" w:space="0" w:color="auto"/>
          </w:divBdr>
        </w:div>
        <w:div w:id="1921789019">
          <w:marLeft w:val="0"/>
          <w:marRight w:val="0"/>
          <w:marTop w:val="0"/>
          <w:marBottom w:val="0"/>
          <w:divBdr>
            <w:top w:val="none" w:sz="0" w:space="0" w:color="auto"/>
            <w:left w:val="none" w:sz="0" w:space="0" w:color="auto"/>
            <w:bottom w:val="none" w:sz="0" w:space="0" w:color="auto"/>
            <w:right w:val="none" w:sz="0" w:space="0" w:color="auto"/>
          </w:divBdr>
        </w:div>
      </w:divsChild>
    </w:div>
    <w:div w:id="948895864">
      <w:bodyDiv w:val="1"/>
      <w:marLeft w:val="0"/>
      <w:marRight w:val="0"/>
      <w:marTop w:val="0"/>
      <w:marBottom w:val="0"/>
      <w:divBdr>
        <w:top w:val="none" w:sz="0" w:space="0" w:color="auto"/>
        <w:left w:val="none" w:sz="0" w:space="0" w:color="auto"/>
        <w:bottom w:val="none" w:sz="0" w:space="0" w:color="auto"/>
        <w:right w:val="none" w:sz="0" w:space="0" w:color="auto"/>
      </w:divBdr>
    </w:div>
    <w:div w:id="1059476854">
      <w:bodyDiv w:val="1"/>
      <w:marLeft w:val="0"/>
      <w:marRight w:val="0"/>
      <w:marTop w:val="0"/>
      <w:marBottom w:val="0"/>
      <w:divBdr>
        <w:top w:val="none" w:sz="0" w:space="0" w:color="auto"/>
        <w:left w:val="none" w:sz="0" w:space="0" w:color="auto"/>
        <w:bottom w:val="none" w:sz="0" w:space="0" w:color="auto"/>
        <w:right w:val="none" w:sz="0" w:space="0" w:color="auto"/>
      </w:divBdr>
      <w:divsChild>
        <w:div w:id="298458875">
          <w:marLeft w:val="0"/>
          <w:marRight w:val="0"/>
          <w:marTop w:val="0"/>
          <w:marBottom w:val="0"/>
          <w:divBdr>
            <w:top w:val="none" w:sz="0" w:space="0" w:color="auto"/>
            <w:left w:val="none" w:sz="0" w:space="0" w:color="auto"/>
            <w:bottom w:val="none" w:sz="0" w:space="0" w:color="auto"/>
            <w:right w:val="none" w:sz="0" w:space="0" w:color="auto"/>
          </w:divBdr>
        </w:div>
        <w:div w:id="119341747">
          <w:marLeft w:val="0"/>
          <w:marRight w:val="0"/>
          <w:marTop w:val="0"/>
          <w:marBottom w:val="0"/>
          <w:divBdr>
            <w:top w:val="none" w:sz="0" w:space="0" w:color="auto"/>
            <w:left w:val="none" w:sz="0" w:space="0" w:color="auto"/>
            <w:bottom w:val="none" w:sz="0" w:space="0" w:color="auto"/>
            <w:right w:val="none" w:sz="0" w:space="0" w:color="auto"/>
          </w:divBdr>
        </w:div>
        <w:div w:id="250282300">
          <w:marLeft w:val="0"/>
          <w:marRight w:val="0"/>
          <w:marTop w:val="0"/>
          <w:marBottom w:val="0"/>
          <w:divBdr>
            <w:top w:val="none" w:sz="0" w:space="0" w:color="auto"/>
            <w:left w:val="none" w:sz="0" w:space="0" w:color="auto"/>
            <w:bottom w:val="none" w:sz="0" w:space="0" w:color="auto"/>
            <w:right w:val="none" w:sz="0" w:space="0" w:color="auto"/>
          </w:divBdr>
        </w:div>
        <w:div w:id="1418819717">
          <w:marLeft w:val="0"/>
          <w:marRight w:val="0"/>
          <w:marTop w:val="0"/>
          <w:marBottom w:val="0"/>
          <w:divBdr>
            <w:top w:val="none" w:sz="0" w:space="0" w:color="auto"/>
            <w:left w:val="none" w:sz="0" w:space="0" w:color="auto"/>
            <w:bottom w:val="none" w:sz="0" w:space="0" w:color="auto"/>
            <w:right w:val="none" w:sz="0" w:space="0" w:color="auto"/>
          </w:divBdr>
        </w:div>
        <w:div w:id="934704226">
          <w:marLeft w:val="0"/>
          <w:marRight w:val="0"/>
          <w:marTop w:val="0"/>
          <w:marBottom w:val="0"/>
          <w:divBdr>
            <w:top w:val="none" w:sz="0" w:space="0" w:color="auto"/>
            <w:left w:val="none" w:sz="0" w:space="0" w:color="auto"/>
            <w:bottom w:val="none" w:sz="0" w:space="0" w:color="auto"/>
            <w:right w:val="none" w:sz="0" w:space="0" w:color="auto"/>
          </w:divBdr>
        </w:div>
        <w:div w:id="2069067645">
          <w:marLeft w:val="0"/>
          <w:marRight w:val="0"/>
          <w:marTop w:val="0"/>
          <w:marBottom w:val="0"/>
          <w:divBdr>
            <w:top w:val="none" w:sz="0" w:space="0" w:color="auto"/>
            <w:left w:val="none" w:sz="0" w:space="0" w:color="auto"/>
            <w:bottom w:val="none" w:sz="0" w:space="0" w:color="auto"/>
            <w:right w:val="none" w:sz="0" w:space="0" w:color="auto"/>
          </w:divBdr>
        </w:div>
        <w:div w:id="519701979">
          <w:marLeft w:val="0"/>
          <w:marRight w:val="0"/>
          <w:marTop w:val="0"/>
          <w:marBottom w:val="0"/>
          <w:divBdr>
            <w:top w:val="none" w:sz="0" w:space="0" w:color="auto"/>
            <w:left w:val="none" w:sz="0" w:space="0" w:color="auto"/>
            <w:bottom w:val="none" w:sz="0" w:space="0" w:color="auto"/>
            <w:right w:val="none" w:sz="0" w:space="0" w:color="auto"/>
          </w:divBdr>
        </w:div>
      </w:divsChild>
    </w:div>
    <w:div w:id="1062866578">
      <w:bodyDiv w:val="1"/>
      <w:marLeft w:val="0"/>
      <w:marRight w:val="0"/>
      <w:marTop w:val="0"/>
      <w:marBottom w:val="0"/>
      <w:divBdr>
        <w:top w:val="none" w:sz="0" w:space="0" w:color="auto"/>
        <w:left w:val="none" w:sz="0" w:space="0" w:color="auto"/>
        <w:bottom w:val="none" w:sz="0" w:space="0" w:color="auto"/>
        <w:right w:val="none" w:sz="0" w:space="0" w:color="auto"/>
      </w:divBdr>
    </w:div>
    <w:div w:id="1082988755">
      <w:bodyDiv w:val="1"/>
      <w:marLeft w:val="0"/>
      <w:marRight w:val="0"/>
      <w:marTop w:val="0"/>
      <w:marBottom w:val="0"/>
      <w:divBdr>
        <w:top w:val="none" w:sz="0" w:space="0" w:color="auto"/>
        <w:left w:val="none" w:sz="0" w:space="0" w:color="auto"/>
        <w:bottom w:val="none" w:sz="0" w:space="0" w:color="auto"/>
        <w:right w:val="none" w:sz="0" w:space="0" w:color="auto"/>
      </w:divBdr>
      <w:divsChild>
        <w:div w:id="2129160988">
          <w:marLeft w:val="0"/>
          <w:marRight w:val="0"/>
          <w:marTop w:val="0"/>
          <w:marBottom w:val="0"/>
          <w:divBdr>
            <w:top w:val="none" w:sz="0" w:space="0" w:color="auto"/>
            <w:left w:val="none" w:sz="0" w:space="0" w:color="auto"/>
            <w:bottom w:val="none" w:sz="0" w:space="0" w:color="auto"/>
            <w:right w:val="none" w:sz="0" w:space="0" w:color="auto"/>
          </w:divBdr>
          <w:divsChild>
            <w:div w:id="763496035">
              <w:marLeft w:val="0"/>
              <w:marRight w:val="0"/>
              <w:marTop w:val="0"/>
              <w:marBottom w:val="0"/>
              <w:divBdr>
                <w:top w:val="none" w:sz="0" w:space="0" w:color="auto"/>
                <w:left w:val="none" w:sz="0" w:space="0" w:color="auto"/>
                <w:bottom w:val="none" w:sz="0" w:space="0" w:color="auto"/>
                <w:right w:val="none" w:sz="0" w:space="0" w:color="auto"/>
              </w:divBdr>
              <w:divsChild>
                <w:div w:id="4484014">
                  <w:marLeft w:val="0"/>
                  <w:marRight w:val="0"/>
                  <w:marTop w:val="0"/>
                  <w:marBottom w:val="0"/>
                  <w:divBdr>
                    <w:top w:val="none" w:sz="0" w:space="0" w:color="auto"/>
                    <w:left w:val="none" w:sz="0" w:space="0" w:color="auto"/>
                    <w:bottom w:val="none" w:sz="0" w:space="0" w:color="auto"/>
                    <w:right w:val="none" w:sz="0" w:space="0" w:color="auto"/>
                  </w:divBdr>
                  <w:divsChild>
                    <w:div w:id="1440641709">
                      <w:marLeft w:val="0"/>
                      <w:marRight w:val="0"/>
                      <w:marTop w:val="0"/>
                      <w:marBottom w:val="0"/>
                      <w:divBdr>
                        <w:top w:val="none" w:sz="0" w:space="0" w:color="auto"/>
                        <w:left w:val="none" w:sz="0" w:space="0" w:color="auto"/>
                        <w:bottom w:val="none" w:sz="0" w:space="0" w:color="auto"/>
                        <w:right w:val="none" w:sz="0" w:space="0" w:color="auto"/>
                      </w:divBdr>
                      <w:divsChild>
                        <w:div w:id="1786580169">
                          <w:marLeft w:val="-125"/>
                          <w:marRight w:val="0"/>
                          <w:marTop w:val="0"/>
                          <w:marBottom w:val="63"/>
                          <w:divBdr>
                            <w:top w:val="none" w:sz="0" w:space="0" w:color="auto"/>
                            <w:left w:val="none" w:sz="0" w:space="0" w:color="auto"/>
                            <w:bottom w:val="none" w:sz="0" w:space="0" w:color="auto"/>
                            <w:right w:val="none" w:sz="0" w:space="0" w:color="auto"/>
                          </w:divBdr>
                          <w:divsChild>
                            <w:div w:id="232551054">
                              <w:marLeft w:val="0"/>
                              <w:marRight w:val="0"/>
                              <w:marTop w:val="0"/>
                              <w:marBottom w:val="0"/>
                              <w:divBdr>
                                <w:top w:val="none" w:sz="0" w:space="0" w:color="auto"/>
                                <w:left w:val="none" w:sz="0" w:space="0" w:color="auto"/>
                                <w:bottom w:val="none" w:sz="0" w:space="0" w:color="auto"/>
                                <w:right w:val="none" w:sz="0" w:space="0" w:color="auto"/>
                              </w:divBdr>
                            </w:div>
                          </w:divsChild>
                        </w:div>
                        <w:div w:id="98448861">
                          <w:marLeft w:val="-250"/>
                          <w:marRight w:val="0"/>
                          <w:marTop w:val="0"/>
                          <w:marBottom w:val="25"/>
                          <w:divBdr>
                            <w:top w:val="none" w:sz="0" w:space="0" w:color="auto"/>
                            <w:left w:val="none" w:sz="0" w:space="0" w:color="auto"/>
                            <w:bottom w:val="none" w:sz="0" w:space="0" w:color="auto"/>
                            <w:right w:val="none" w:sz="0" w:space="0" w:color="auto"/>
                          </w:divBdr>
                        </w:div>
                        <w:div w:id="1576090984">
                          <w:marLeft w:val="0"/>
                          <w:marRight w:val="0"/>
                          <w:marTop w:val="0"/>
                          <w:marBottom w:val="0"/>
                          <w:divBdr>
                            <w:top w:val="none" w:sz="0" w:space="0" w:color="auto"/>
                            <w:left w:val="none" w:sz="0" w:space="0" w:color="auto"/>
                            <w:bottom w:val="none" w:sz="0" w:space="0" w:color="auto"/>
                            <w:right w:val="none" w:sz="0" w:space="0" w:color="auto"/>
                          </w:divBdr>
                          <w:divsChild>
                            <w:div w:id="1866821198">
                              <w:marLeft w:val="0"/>
                              <w:marRight w:val="0"/>
                              <w:marTop w:val="0"/>
                              <w:marBottom w:val="0"/>
                              <w:divBdr>
                                <w:top w:val="none" w:sz="0" w:space="0" w:color="auto"/>
                                <w:left w:val="none" w:sz="0" w:space="0" w:color="auto"/>
                                <w:bottom w:val="none" w:sz="0" w:space="0" w:color="auto"/>
                                <w:right w:val="none" w:sz="0" w:space="0" w:color="auto"/>
                              </w:divBdr>
                              <w:divsChild>
                                <w:div w:id="20100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zhav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44CB3-E2F1-4E04-9025-D98A9AB5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АКБ "Держава" ОАО</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evzuykova</dc:creator>
  <cp:lastModifiedBy>evzuykova</cp:lastModifiedBy>
  <cp:revision>11</cp:revision>
  <cp:lastPrinted>2014-12-16T11:20:00Z</cp:lastPrinted>
  <dcterms:created xsi:type="dcterms:W3CDTF">2015-10-27T13:40:00Z</dcterms:created>
  <dcterms:modified xsi:type="dcterms:W3CDTF">2015-10-29T11:04:00Z</dcterms:modified>
</cp:coreProperties>
</file>